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E5" w:rsidRPr="004561E5" w:rsidRDefault="004561E5" w:rsidP="004561E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4561E5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رساله ای خطی در حکومت و ریاست </w:t>
      </w:r>
    </w:p>
    <w:p w:rsidR="004561E5" w:rsidRPr="004561E5" w:rsidRDefault="004561E5" w:rsidP="004561E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b/>
          <w:bCs/>
          <w:sz w:val="28"/>
          <w:szCs w:val="28"/>
          <w:rtl/>
        </w:rPr>
        <w:t>نويسنده : کاظمی موسوی، سید احمد</w:t>
      </w:r>
    </w:p>
    <w:p w:rsidR="004561E5" w:rsidRPr="004561E5" w:rsidRDefault="004561E5" w:rsidP="004561E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t>در کتابخانه «مؤسسه بین‏المللى اندیشه و تمدّن اسلامى» در کوآلالامپور (مالزى</w:t>
      </w:r>
      <w:r w:rsidRPr="004561E5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>یک مجموعه از تصانیف مُهذّب‏الدین احمد بن عبدالرضا البصرى (ف . 1094 هجرى) به خطّ مؤلّف موجود است که تاکنون در جایى معرّفى نشده است. این مجموعه داراى یک رساله در حکومت و ریاست است که راه و روال گفتگوهاى فقاهتى عصر (اواخر دوره صفوى) را بازمى‏تاباند و به نظر نمى‏رسد که علما و فقهاى بعدى به متن این رساله دسترسى یافته و از مندرجات آن آگاه شده باشند. این رساله در گجرات هند نوشته شده و جزء مجموعه مصنّفات مهذّب‏الدین به حیدرآباد دکن و از آنجا به کتابخانه بارکز و سرانجام به مالزى انتقال یافته است. این مجموعه حاوى رساله‏هاى زیر است</w:t>
      </w:r>
      <w:r w:rsidRPr="004561E5">
        <w:rPr>
          <w:rFonts w:ascii="B Nazanin" w:eastAsia="Times New Roman" w:hAnsi="B Nazanin" w:cs="B Nazanin"/>
          <w:sz w:val="28"/>
          <w:szCs w:val="28"/>
        </w:rPr>
        <w:t>: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</w:rPr>
        <w:t>1) «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 xml:space="preserve">رسالة فى الحکومة و الرئاسة و شرائطها و لوازمها و رشحةٌ فى الولایة و السلطنة و ضوابطها و حوازیها» (به خط مُصنّف، تاریخ اتمام: ربیع‏الثانى 1084 </w:t>
      </w:r>
      <w:proofErr w:type="gramStart"/>
      <w:r w:rsidRPr="004561E5">
        <w:rPr>
          <w:rFonts w:ascii="B Nazanin" w:eastAsia="Times New Roman" w:hAnsi="B Nazanin" w:cs="B Nazanin"/>
          <w:sz w:val="28"/>
          <w:szCs w:val="28"/>
          <w:rtl/>
        </w:rPr>
        <w:t xml:space="preserve">ه </w:t>
      </w:r>
      <w:r w:rsidRPr="004561E5">
        <w:rPr>
          <w:rFonts w:ascii="B Nazanin" w:eastAsia="Times New Roman" w:hAnsi="B Nazanin" w:cs="B Nazanin"/>
          <w:sz w:val="28"/>
          <w:szCs w:val="28"/>
        </w:rPr>
        <w:t>)</w:t>
      </w:r>
      <w:proofErr w:type="gramEnd"/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</w:rPr>
        <w:t>2) «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 xml:space="preserve">رسالة فى بعض مشکلات الصحیفة الکاملة» (به خط مصنف، به مقام حیدرآباد، رجب </w:t>
      </w:r>
      <w:r w:rsidRPr="004561E5">
        <w:rPr>
          <w:rFonts w:ascii="B Nazanin" w:eastAsia="Times New Roman" w:hAnsi="B Nazanin" w:cs="B Nazanin"/>
          <w:sz w:val="28"/>
          <w:szCs w:val="28"/>
        </w:rPr>
        <w:t>1088).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</w:rPr>
        <w:t>3) «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 xml:space="preserve">رسالة حبیبة‏الأحباب فى الضرورى من الآداب» (به خط مصنف، به مقام غزنین، </w:t>
      </w:r>
      <w:r w:rsidRPr="004561E5">
        <w:rPr>
          <w:rFonts w:ascii="B Nazanin" w:eastAsia="Times New Roman" w:hAnsi="B Nazanin" w:cs="B Nazanin"/>
          <w:sz w:val="28"/>
          <w:szCs w:val="28"/>
        </w:rPr>
        <w:t xml:space="preserve">1079 </w:t>
      </w:r>
      <w:proofErr w:type="gramStart"/>
      <w:r w:rsidRPr="004561E5">
        <w:rPr>
          <w:rFonts w:ascii="B Nazanin" w:eastAsia="Times New Roman" w:hAnsi="B Nazanin" w:cs="B Nazanin"/>
          <w:sz w:val="28"/>
          <w:szCs w:val="28"/>
          <w:rtl/>
        </w:rPr>
        <w:t>ه</w:t>
      </w:r>
      <w:r w:rsidRPr="004561E5">
        <w:rPr>
          <w:rFonts w:ascii="B Nazanin" w:eastAsia="Times New Roman" w:hAnsi="B Nazanin" w:cs="B Nazanin"/>
          <w:sz w:val="28"/>
          <w:szCs w:val="28"/>
        </w:rPr>
        <w:t xml:space="preserve"> )</w:t>
      </w:r>
      <w:proofErr w:type="gramEnd"/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</w:rPr>
        <w:t>4) «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>منظومه شرح قصیدة تحفة المنطقیة`» (به خط مصنّف</w:t>
      </w:r>
      <w:r w:rsidRPr="004561E5">
        <w:rPr>
          <w:rFonts w:ascii="B Nazanin" w:eastAsia="Times New Roman" w:hAnsi="B Nazanin" w:cs="B Nazanin"/>
          <w:sz w:val="28"/>
          <w:szCs w:val="28"/>
        </w:rPr>
        <w:t>).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t>از این مصنّف مجموعه دیگرى در کتابخانه موزه سالار جنگ حیدرآباد دکن موجود است</w:t>
      </w:r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شیخ آقابزرگ تهرانى در طبقات الأعلام (قرن حادى‏عشر) به نقل از نجوم‏السماء و تذکرة‏العُلماء مصنّف را چنین معرفى مى‏کند: «وى از شاگردان برجسته الحُر العاملى </w:t>
      </w:r>
      <w:r w:rsidRPr="004561E5">
        <w:rPr>
          <w:rFonts w:ascii="B Nazanin" w:eastAsia="Times New Roman" w:hAnsi="B Nazanin" w:cs="B Nazanin"/>
          <w:sz w:val="28"/>
          <w:szCs w:val="28"/>
        </w:rPr>
        <w:t>(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>ف . 1104 ه) بوده و کتابهاى المنهاج‏القویم و رسالة‏التجوید و فائق‏المقال فى علم‏الرجال را در سال 1085 در حیدرآباد نوشته است». شیخ آقابزرگ آنگاه اضافه مى‏کند: «برخى نوشته‏هایش در کتابخانه الهادى بن عباس آل‏کاشف الغطاء در نجف موجود است و در آغاز همه آنها نوشته شده که مهذّب‏الدین احمد بن عبدالرضا در سال 1068 در مشهد و حومه از نوشتن آنها فراغت یافته است». شیخ آقابزرگ سپس به شرح کتابهایى که وى در مشهد، قندهار و حیدرآباد نوشته مى‏پردازد و در پایان مى‏گوید که همه این نوشته‏ها به سجع و شعر و معمّا آراسته شده و شبیه تصانیف شیخ بهائى‏اند. این نشان مى‏دهد که نویسنده از دانشهاى عصر خود آگاه بوده است</w:t>
      </w:r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561E5">
        <w:rPr>
          <w:rFonts w:ascii="B Nazanin" w:eastAsia="Times New Roman" w:hAnsi="B Nazanin" w:cs="B Nazanin"/>
          <w:sz w:val="28"/>
          <w:szCs w:val="28"/>
        </w:rPr>
        <w:t>«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>رسالة فى الحکومة و الرئاسة» یک جزوه بالنسبه کوتاه (به اندازه «باب تحدید ولایت فقیه» نراقى) است که به شیوه اندرزگویى و نقل حدیث به زبان عربى نوشته شده است.</w:t>
      </w:r>
      <w:proofErr w:type="gramEnd"/>
      <w:r w:rsidRPr="004561E5">
        <w:rPr>
          <w:rFonts w:ascii="B Nazanin" w:eastAsia="Times New Roman" w:hAnsi="B Nazanin" w:cs="B Nazanin"/>
          <w:sz w:val="28"/>
          <w:szCs w:val="28"/>
          <w:rtl/>
        </w:rPr>
        <w:t xml:space="preserve"> طرز بیان و استدلال نویسنده شکّى در اخبارى بودنش باقى نمى‏گذارد. حکومت را حق پیامبر اکرم و اوصیاء او مى‏داند که در زمان غیبت به نوّاب خاصّ یا عامّ امام (ع</w:t>
      </w:r>
      <w:r w:rsidRPr="004561E5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 xml:space="preserve">مى‏رسد. مؤلّف ارتباط داشتن با حکومتى را که از راه زور مستولى شده، فقط در چهارچوب </w:t>
      </w:r>
      <w:r w:rsidRPr="004561E5">
        <w:rPr>
          <w:rFonts w:ascii="B Nazanin" w:eastAsia="Times New Roman" w:hAnsi="B Nazanin" w:cs="B Nazanin"/>
          <w:sz w:val="28"/>
          <w:szCs w:val="28"/>
        </w:rPr>
        <w:t>«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>ضرورت و تقیّه» مجاز مى‏شمارد، و کار کردن براى حکومت را تنها در صورتى پذیرفته مى‏داند که امر به معروف و نهى از منکرى در میان باشد. نویسنده از نکوهش علمایى که با دربار سلاطین سر و کار داشته‏اند خوددارى نمى‏کند. از شیخ بهائى و سیّد مرتضى و شیخ صفى‏الدین حلّى مشخصا نام مى‏برد، ولى نه به زشتى. نویسنده گاه اندیشه خود را به شعر فارسى بیان مى‏کند</w:t>
      </w:r>
      <w:r w:rsidRPr="004561E5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0"/>
        <w:gridCol w:w="2596"/>
      </w:tblGrid>
      <w:tr w:rsidR="004561E5" w:rsidRPr="004561E5" w:rsidTr="004561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عجب دارم ز اهل علم کایشان </w:t>
            </w:r>
          </w:p>
        </w:tc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چرا غافل شوند از راه سالک </w:t>
            </w:r>
          </w:p>
        </w:tc>
      </w:tr>
      <w:tr w:rsidR="004561E5" w:rsidRPr="004561E5" w:rsidTr="004561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کشانند ثوب حرص و آز دائم </w:t>
            </w:r>
          </w:p>
        </w:tc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به‏سوى خوف و جاهاى مهالک </w:t>
            </w:r>
          </w:p>
        </w:tc>
      </w:tr>
      <w:tr w:rsidR="004561E5" w:rsidRPr="004561E5" w:rsidTr="004561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کنند آمد شد اندر روز و در شب </w:t>
            </w:r>
          </w:p>
        </w:tc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نزد شاه و سلطان ممالک </w:t>
            </w:r>
          </w:p>
        </w:tc>
      </w:tr>
      <w:tr w:rsidR="004561E5" w:rsidRPr="004561E5" w:rsidTr="004561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lastRenderedPageBreak/>
              <w:t xml:space="preserve">به گرد ظالمان گردند ایشان </w:t>
            </w:r>
          </w:p>
        </w:tc>
        <w:tc>
          <w:tcPr>
            <w:tcW w:w="0" w:type="auto"/>
            <w:vAlign w:val="center"/>
            <w:hideMark/>
          </w:tcPr>
          <w:p w:rsidR="004561E5" w:rsidRPr="004561E5" w:rsidRDefault="004561E5" w:rsidP="004561E5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4561E5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چوحاجى درحرم وقت مناسک </w:t>
            </w:r>
          </w:p>
        </w:tc>
      </w:tr>
    </w:tbl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t>در پایان مى‏گوید که این رساله را در گجرات هند در ماه چهارم سال 1094 نوشته است</w:t>
      </w:r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t>نوع روایاتى که نویسنده در این رساله به آنها استناد مى‏کند، همان روایاتى است که دو قرن بعد ملا احمد نراقى (ف . 1245 ه) در عوائدالأیام جمع‏آورى کرده؛ منتها نراقى ادّعا مى‏کند که پیش از وى هیچ‏یک از علما روایات را بدین‏گونه جمع نکرده‏اند. البته آن‏طور که از بین‏السطور نوشته نراقى برمى‏آید وى نظر به کارهاى شیخ جعفر نجفى کاشف‏الغطاء (ف . 1227 ه ) بویژه رساله الحقّ المبین او داشته است</w:t>
      </w:r>
      <w:r w:rsidRPr="004561E5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4561E5">
        <w:rPr>
          <w:rFonts w:ascii="B Nazanin" w:eastAsia="Times New Roman" w:hAnsi="B Nazanin" w:cs="B Nazanin"/>
          <w:sz w:val="28"/>
          <w:szCs w:val="28"/>
          <w:rtl/>
        </w:rPr>
        <w:t>با این‏همه چنانچه نراقى رساله مهذّب‏الدین را دیده بود، نحوه ادّعایش تغییر مى‏کرد</w:t>
      </w:r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t>لازم به یادآورى است که شیخ مهذّب‏الدین در نقل احادیث، نظم و ترتیب نراقى را ندارد؛ بلکه شیوه بیان او اندرزگونه و همراه با شعر و لطیفه است. از آوردن روایات مربوط به رفع ظلم و ستم درباب حکومت و ولایت نیز خوددارى نمى‏ورزد، و مآخذ روایات خود را ذکر نمى‏کند. تکیه اصلى وى بر حکومت عادله است بدون آنکه در چگونگى حکومت نوّاب امام سخنى گفته باشد. این نکته مُؤیّد استنباط مرحوم آیة‏الله آقا مهدى حائرى در کتاب حکمت و حکومت است مبنى بر اینکه علماى عصر صفوى و قاجار در نوشتن «باب ولایت فقیه» نظر بر اقامه عدل و رفع ظلم حکومتگران داشته‏اند نه آنکه حکومت را مختص افراد مخصوصى کرده باشند</w:t>
      </w:r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4561E5" w:rsidRPr="004561E5" w:rsidRDefault="004561E5" w:rsidP="004561E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561E5">
        <w:rPr>
          <w:rFonts w:ascii="B Nazanin" w:eastAsia="Times New Roman" w:hAnsi="B Nazanin" w:cs="B Nazanin"/>
          <w:sz w:val="28"/>
          <w:szCs w:val="28"/>
          <w:rtl/>
        </w:rPr>
        <w:t>این رساله اینک در دست تصحیح است و در آینده از سوى «مؤسسه اندیشه و تمدّن اسلامى» منتشر خواهد شد</w:t>
      </w:r>
      <w:r w:rsidRPr="004561E5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4561E5" w:rsidRDefault="00E94446" w:rsidP="004561E5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4561E5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561E5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1E5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61E5"/>
    <w:rPr>
      <w:color w:val="0000FF"/>
      <w:u w:val="single"/>
    </w:rPr>
  </w:style>
  <w:style w:type="character" w:customStyle="1" w:styleId="pagecount">
    <w:name w:val="pagecount"/>
    <w:basedOn w:val="DefaultParagraphFont"/>
    <w:rsid w:val="004561E5"/>
  </w:style>
  <w:style w:type="character" w:customStyle="1" w:styleId="pageno">
    <w:name w:val="pageno"/>
    <w:basedOn w:val="DefaultParagraphFont"/>
    <w:rsid w:val="004561E5"/>
  </w:style>
  <w:style w:type="character" w:customStyle="1" w:styleId="magsimg">
    <w:name w:val="magsimg"/>
    <w:basedOn w:val="DefaultParagraphFont"/>
    <w:rsid w:val="004561E5"/>
  </w:style>
  <w:style w:type="paragraph" w:styleId="NormalWeb">
    <w:name w:val="Normal (Web)"/>
    <w:basedOn w:val="Normal"/>
    <w:uiPriority w:val="99"/>
    <w:semiHidden/>
    <w:unhideWhenUsed/>
    <w:rsid w:val="0045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56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1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2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3431</Characters>
  <Application>Microsoft Office Word</Application>
  <DocSecurity>0</DocSecurity>
  <Lines>28</Lines>
  <Paragraphs>8</Paragraphs>
  <ScaleCrop>false</ScaleCrop>
  <Company>MRT www.Win2Farsi.com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2010-07-13T12:35:00Z</dcterms:created>
  <dcterms:modified xsi:type="dcterms:W3CDTF">2010-07-13T12:36:00Z</dcterms:modified>
</cp:coreProperties>
</file>