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00" w:rsidRPr="00C65500" w:rsidRDefault="00C65500" w:rsidP="00C65500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65500">
        <w:rPr>
          <w:rFonts w:ascii="B Nazanin" w:eastAsia="Times New Roman" w:hAnsi="B Nazanin" w:cs="B Nazanin"/>
          <w:b/>
          <w:bCs/>
          <w:sz w:val="28"/>
          <w:szCs w:val="28"/>
          <w:rtl/>
        </w:rPr>
        <w:t>دو کتاب در شرح ادبیات و امثال عربی «کلیله و دمنه</w:t>
      </w:r>
      <w:r w:rsidRPr="00C65500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»</w:t>
      </w:r>
    </w:p>
    <w:p w:rsidR="00C65500" w:rsidRPr="00C65500" w:rsidRDefault="00C65500" w:rsidP="00C65500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C65500">
        <w:rPr>
          <w:rFonts w:ascii="B Nazanin" w:eastAsia="Times New Roman" w:hAnsi="B Nazanin" w:cs="B Nazanin"/>
          <w:b/>
          <w:bCs/>
          <w:sz w:val="28"/>
          <w:szCs w:val="28"/>
          <w:rtl/>
        </w:rPr>
        <w:t>نويسنده : اشراقی، احمد</w:t>
      </w:r>
    </w:p>
    <w:p w:rsidR="00C65500" w:rsidRPr="00C65500" w:rsidRDefault="00C65500" w:rsidP="00C65500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>شرح اخبار و ابیات و امثال عربى کلیله و دمنه. دو شرح از فضل‏اللّه‏ بن عثمان اسفزارى و مؤلفى ناشناخته (در نیمه اوّل قرن هفتم هجرى). مقدّمه، تصحیح و تعلیقات از بهروز ایمانى. مرکز نشر میراث مکتوب. تهران 1380. 800 ص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 xml:space="preserve">هنگامى‏که ابوالمعالى نظام‏الملک معین‏الدین نصراللّه‏ بن محمّد بن عبدالحمید بن احمد بن عبدالصّمد، منشى دیوان بهرامشاه غزنوى (که بین سالهاى 512 تا 547 ق . حکومت کرد) به ترجمه آزاد کتاب کلیله و دمنه از متن عربى ابن مقفّع به فارسى پرداخت و آن را در حدود سال 540 هجرى قمرى به پایان برد و بدان پادشاه تقدیم کرد پایه سبکى جدید و بسیار زیبا و آراسته به انواع صنایع بدیع را در نثرنویسى بنیان نهاد که هیچکس بعد از او ـ بجز سعدى در گلستان ـ نتوانست با آن مقابله کند. این کتاب که از باارزش‏ترین آثار ادبى فارسى بلکه از بهترین گنجینه‏هاى ادبى جهان است از همان زمان که نوشته شد مورد توجّه ادبا و علما و دانشمندان واقع گردید. برخى آن را به نظم درآوردند، برخى آن را تلخیص کردند، بعضى ـ مانند ملاحسین واعظ کاشفى در انوار سهیلى ـ ویرایش تازه‏اى از آن ارائه کردند و بعضى به شرح و تفسیر مطالب مشکل و ترجمه ابیات عربى و امثال و حکم و آیات قرآنى و احادیث منقول در آن پرداختند و گروهى به شرح لغات و ترجمه آنهااقدام کردند و این کار تا امروز ادامه یافته است. از متن این کتاب گرانبها اکنون دو چاپ خوب و تصحیح شده در دست است که هرکدام داراى مزایا و محاسنى است: یکى چاپ مرحوم عبدالعظیم قریب گرکانى است که با مقدمه‏اى عالمانه و تصحیح کامل در سال 1311 هجرى قمرى منتشر گردید و از آن پس بارها تجدید چاپ شده است، و دوم چاپ دانشگاه تهران با تصحیح و توضیحِ مجتبى مینوى طهرانى که در سال 1343 منتشر شد و اکنون مرجع اصلى 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lastRenderedPageBreak/>
        <w:t>اهل فضل و ادب است و دانشجویان و معلّمان ادبیات مى‏توانند از هریک ازاین دو چاپ بهره‏مند شوند و تقریبا مشکلات خود را با استفاده از حواشى و تعلیقات آنها برطرف سازند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>شادروان مینوى در مقدّمه خود بر چاپ کلیله و دمنه (ص. ک) از دو شرح ابیات نام برده است که یکى تألیف فضل‏اللّه‏ اسفزارى است و نسخ آن در موزه‏هاى بریتانیا و کتابخانه‏هاى پاریس و ماربوگ و مجلس شوراى اسلامى موجود است و دوم از مؤلفى مجهول که نسخه آن در کتابخانه لالااسماعیل (در استانبول) موجود است و تاریخ استنساخ آن سال 707 است. این هردو کتاب در نیمه اوّل قرن هفتم هجرى تألیف شده‏اند. آقاى بهروز ایمانى در کتاب مورد بحث ما این دو نسخه را تصحیح و منتشر کرده است تا: «مورد استفاده دانشجویان و ادب‏دوستان قرار گیرد و سر سوزنى از آرزوى زنده‏یاد مینوى که نیّت داشتند کلیله و دمنه را با تعلیقات مفصّل و مقدّمه‏اى مشروح منتشر کنند تحقق پیدا کند» (ص 4ـ103</w:t>
      </w:r>
      <w:r w:rsidRPr="00C65500">
        <w:rPr>
          <w:rFonts w:ascii="B Nazanin" w:eastAsia="Times New Roman" w:hAnsi="B Nazanin" w:cs="B Nazanin"/>
          <w:sz w:val="28"/>
          <w:szCs w:val="28"/>
        </w:rPr>
        <w:t>).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>آقاى ایمانى الحق زحمت بسیار کشیده تا این امر صورت تحقق یافته است و از فهرست بلند بالاى مآخذ فارسى و عربى چاپى و خطّى و مآخذ به زبانهاى اروپایى، که در آخر کتاب آمده است، و از تعلیقات مفصّل و فراوان ایشان که حدود 180 صفحه از کتاب را دربرگرفته (از صفحه 501 تا 680) و از لحاظ حجم مطلب بیش از 50 درصد از مجموع دو کتاب مذکور است معلوم مى‏شود که چه زحمت فوق‏العاده‏اى متحمّل شده است و اى کاش این همه زحمت را در راه تهیّه تعلیقات مفصّل اصل کتاب کلیله و دمنه به نحوى که مورد نظر مرحوم مینوى بود و در مقدّمه خود موارد آن را جا به جا ذکر کرده است به کار مى‏برد و این دو کتاب را بدون این تعلیقات چاپ مى‏کرد؛ چه به نظر مى‏آید که کار ایشان در حدّ احیاء دو نسخه خطّى فراموش شده در کنج کتابخانه‏هاى دورافتاده ارزشمند است ولى نوشتن یک مقدّمه مفصّل 105 صفحه‏اى و یک ضمیمه حاوى تعلیقات 180 صفحه‏اى براى یک کار فرعى مربوط به کلیله و دمنه شاید اسراف در تحقیق و پژوهش باشد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روش تصحیح دو کتاب فوق با هم فرق دارد. کتاب اوّل را با مقابله چهار نسخه موجود تصحیح کرده و نسخه‏بدلهاى فراوان آنها را در زیر صفحات آورده ـ که غالبا «لایسمن و لایغنى من جوع» است و فقط گهگاه توضیحى بر مطالب کتاب در حاشیه افزوده شده در حالى‏که متن این کتاب بسیار مشکلتر از کتاب دوم است و جاى توضیح بیشترى براى مصحح در حواشى وجود داشته است. ولى در مورد کتاب دوم که نسبتا ساده‏تر است مصحح محترم توضیحات وافى و کافى در حواشى افزوده است و لغات مشکل آن را شرح داده است. مرحوم مینوى در حواشى چاپ خود هرجا لغتى را معنا کرده است از کتب لغت معتبرى که پیش از زمان نصراللّه‏ منشى یا لااقل در زمان او نوشته شده است استفاده کرده است و در همه جا مرجع خود را ذکر کرده و هدفش این بوده که اثبات کند این لغات در زمان نصراللّه‏ منشى بدان معانى به کار مى‏رفته است. امّا مصحح این کتاب، ظاهرا به تقلید مینوى، در کنارِ هر لغت منبع خود را ذکر کرده است که گاهى به زمانهاى جدید مى‏رسد مانند منتهى‏الارب، غیاث‏اللغات، برهان قاطع، لغتنامه دهخدا و غیره که دیگر ذکر این منابع ضرورى به نظر نمى‏رسد. توضیحات فضل‏اللّه‏ اسفزارى گاهى مشکلتر از خود کتاب کلیله و دمنه است چنانکه در همان ابتداى شرح (ص </w:t>
      </w:r>
      <w:r w:rsidRPr="00C65500">
        <w:rPr>
          <w:rFonts w:ascii="B Nazanin" w:eastAsia="Times New Roman" w:hAnsi="B Nazanin" w:cs="B Nazanin"/>
          <w:sz w:val="28"/>
          <w:szCs w:val="28"/>
        </w:rPr>
        <w:t xml:space="preserve">128) 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مشهود است که مثلاً «فى‏الغدایا و العشایا» را به صورت زیر شرح داده است</w:t>
      </w:r>
      <w:r w:rsidRPr="00C65500">
        <w:rPr>
          <w:rFonts w:ascii="B Nazanin" w:eastAsia="Times New Roman" w:hAnsi="B Nazanin" w:cs="B Nazanin"/>
          <w:sz w:val="28"/>
          <w:szCs w:val="28"/>
        </w:rPr>
        <w:t>: «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من‏الصباح الى الرواح و من الفلق الى الغسق» و مصحح محترم این جمله را نه در ذیل صفحه و نه در تعلیقات ترجمه نکرده است. گاهى در ترجمه مرحوم مینوى که در ذیل صفحات کلیله و دمنه آمده است نکاتى نهفته است که در هیچیک از دو کتاب مذکور بدانها اشارتى نشده است. مثلاً در ترجمه «مایزعُ السلطان اکثرُ ممّا یزع القرآن» که در صفحه 4 کلیله آمده است، در ترجمه اسفزارى «سلطان</w:t>
      </w:r>
      <w:r w:rsidRPr="00C65500">
        <w:rPr>
          <w:rFonts w:ascii="B Nazanin" w:eastAsia="Times New Roman" w:hAnsi="B Nazanin" w:cs="B Nazanin"/>
          <w:sz w:val="28"/>
          <w:szCs w:val="28"/>
        </w:rPr>
        <w:t>»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ص 129) و در ترجمه مؤلفِ مجهول «سلطان و پادشاه» (ص 355) آمده است، امّا مرحوم مینوى به حق نوشته است: «آنچه سلطان (یعنى حکومت و قدرت دولتى) آدمیان را از آن بازمى‏دارد...» (حاشیه ص 4). این توضیح مرحوم مینوى اشاره به این نکته لطیف دارد که کلمه «سلطان» در صدر اسلام تا قرن چهارم هجرى به معناى حکومت و قدرت بوده است نه پادشاه و امیر، و ظاهرا اولین پادشاهى که به عنوان «سلطان» نامیده شده است سلطان محمود غزنوى بوده است (نک. لغتنامه دهخدا، به نقل از ابن‏اثیر و مجمل‏التواریخ و القصص</w:t>
      </w:r>
      <w:r w:rsidRPr="00C65500">
        <w:rPr>
          <w:rFonts w:ascii="B Nazanin" w:eastAsia="Times New Roman" w:hAnsi="B Nazanin" w:cs="B Nazanin"/>
          <w:sz w:val="28"/>
          <w:szCs w:val="28"/>
        </w:rPr>
        <w:t>).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lastRenderedPageBreak/>
        <w:t>ضمنا من کتاب کوچکى دارم به نام «فاکهة التلامیذ»، تألیف حاجى میرزا علیقلى واعظ دهخوارقانى که به خط پسرش در 1348 چاپ شده است و کلّیه اشعار عربى و برخى از اشعار فارسى کلیله و دمنه و کلّیه لغات مهمّ آن را در واژه‏نامه آخر کتاب ترجمه کرده است که شاید کار این هردو کتاب را با هم مى‏تواند بکند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>گرچه کتاب نسبتا خوب چاپ شده امّا عارى از غلط نیست. براى نمونه به چند مورد اشاره مى‏شود</w:t>
      </w:r>
      <w:r w:rsidRPr="00C65500">
        <w:rPr>
          <w:rFonts w:ascii="B Nazanin" w:eastAsia="Times New Roman" w:hAnsi="B Nazanin" w:cs="B Nazanin"/>
          <w:sz w:val="28"/>
          <w:szCs w:val="28"/>
        </w:rPr>
        <w:t>: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>صفحه 31 (سطر آخر) «سعدى» باید «سُغدى» شود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34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سطر آخر): «صاحب قاموس تاج‏العروس» باید «صاحب تاج‏العروس من جواهرالقاموس» شود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53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دو سطر به آخر): «تاریخ این واقعه باید بعد از سال 555 و پیش از سال 538 باشد» یعنى چه؟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54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: 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پاراگراف دوم ظاهرا زائد است چون ربطى به نصراللّه‏ منشى ندارد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73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سطر اوّل): «بپیوندد» صحیح است نه «بپیوندند</w:t>
      </w:r>
      <w:r w:rsidRPr="00C65500">
        <w:rPr>
          <w:rFonts w:ascii="B Nazanin" w:eastAsia="Times New Roman" w:hAnsi="B Nazanin" w:cs="B Nazanin"/>
          <w:sz w:val="28"/>
          <w:szCs w:val="28"/>
        </w:rPr>
        <w:t>».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77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حاشیه 2): «چندتا» باید «چند جا» باشد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83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سطر اوّل پانویس): «ملجه» باید «مجلّه» شود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125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عنوان «مفتح» باید «مفتتح» باشد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t>" 353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 xml:space="preserve"> (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سطر 9): صحیح «حَدَثَ» (به فتح دال) است که در عبارت «فاخذنى ماقَدُمَ و ماحَدُث» فتحه دال براى ازدواج و همگرایى</w:t>
      </w:r>
      <w:r w:rsidRPr="00C65500">
        <w:rPr>
          <w:rFonts w:ascii="B Nazanin" w:eastAsia="Times New Roman" w:hAnsi="B Nazanin" w:cs="B Nazanin"/>
          <w:sz w:val="28"/>
          <w:szCs w:val="28"/>
        </w:rPr>
        <w:t xml:space="preserve"> (assimilation) 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با قَدُم بدل به ضمّه شده است (رک. النهایه ابن‏اثیر، ج 1، ص 351</w:t>
      </w:r>
      <w:r w:rsidRPr="00C65500">
        <w:rPr>
          <w:rFonts w:ascii="B Nazanin" w:eastAsia="Times New Roman" w:hAnsi="B Nazanin" w:cs="B Nazanin"/>
          <w:sz w:val="28"/>
          <w:szCs w:val="28"/>
        </w:rPr>
        <w:t>).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C65500">
        <w:rPr>
          <w:rFonts w:ascii="B Nazanin" w:eastAsia="Times New Roman" w:hAnsi="B Nazanin" w:cs="B Nazanin"/>
          <w:sz w:val="28"/>
          <w:szCs w:val="28"/>
        </w:rPr>
        <w:lastRenderedPageBreak/>
        <w:t>" 683</w:t>
      </w:r>
      <w:proofErr w:type="gramEnd"/>
      <w:r w:rsidRPr="00C65500">
        <w:rPr>
          <w:rFonts w:ascii="B Nazanin" w:eastAsia="Times New Roman" w:hAnsi="B Nazanin" w:cs="B Nazanin"/>
          <w:sz w:val="28"/>
          <w:szCs w:val="28"/>
        </w:rPr>
        <w:t>: «</w:t>
      </w:r>
      <w:r w:rsidRPr="00C65500">
        <w:rPr>
          <w:rFonts w:ascii="B Nazanin" w:eastAsia="Times New Roman" w:hAnsi="B Nazanin" w:cs="B Nazanin"/>
          <w:sz w:val="28"/>
          <w:szCs w:val="28"/>
          <w:rtl/>
        </w:rPr>
        <w:t>احباب» را به نقل از فرهنگ نفیسى جمع حِبّ و حُبّ و به معناى دوستاران و یاران دانسته‏اند. خوب است آقاى ایمانى دیگر بار به فرهنگ نفیسى مراجعه کنند تا ببینند که در آنجا دو احباب آمده است و یکى از آنها جمع حبیب است و حُبّ به معناى کوزه است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C65500" w:rsidRPr="00C65500" w:rsidRDefault="00C65500" w:rsidP="00C6550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C65500">
        <w:rPr>
          <w:rFonts w:ascii="B Nazanin" w:eastAsia="Times New Roman" w:hAnsi="B Nazanin" w:cs="B Nazanin"/>
          <w:sz w:val="28"/>
          <w:szCs w:val="28"/>
          <w:rtl/>
        </w:rPr>
        <w:t>در خاتمه از آقاى ایمانى که این دو کتاب را زنده کرده و در اختیار اهل تحقیق قرار داده‏اند باید سپاسگزار بود</w:t>
      </w:r>
      <w:r w:rsidRPr="00C65500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C65500" w:rsidRDefault="00E94446" w:rsidP="00C65500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C65500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65500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50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5500"/>
    <w:rPr>
      <w:color w:val="0000FF"/>
      <w:u w:val="single"/>
    </w:rPr>
  </w:style>
  <w:style w:type="character" w:customStyle="1" w:styleId="pagecount">
    <w:name w:val="pagecount"/>
    <w:basedOn w:val="DefaultParagraphFont"/>
    <w:rsid w:val="00C65500"/>
  </w:style>
  <w:style w:type="character" w:customStyle="1" w:styleId="pageno">
    <w:name w:val="pageno"/>
    <w:basedOn w:val="DefaultParagraphFont"/>
    <w:rsid w:val="00C65500"/>
  </w:style>
  <w:style w:type="character" w:customStyle="1" w:styleId="magsimg">
    <w:name w:val="magsimg"/>
    <w:basedOn w:val="DefaultParagraphFont"/>
    <w:rsid w:val="00C65500"/>
  </w:style>
  <w:style w:type="paragraph" w:styleId="NormalWeb">
    <w:name w:val="Normal (Web)"/>
    <w:basedOn w:val="Normal"/>
    <w:uiPriority w:val="99"/>
    <w:semiHidden/>
    <w:unhideWhenUsed/>
    <w:rsid w:val="00C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5609</Characters>
  <Application>Microsoft Office Word</Application>
  <DocSecurity>0</DocSecurity>
  <Lines>46</Lines>
  <Paragraphs>13</Paragraphs>
  <ScaleCrop>false</ScaleCrop>
  <Company>MRT www.Win2Farsi.com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2010-07-13T12:38:00Z</dcterms:created>
  <dcterms:modified xsi:type="dcterms:W3CDTF">2010-07-13T12:39:00Z</dcterms:modified>
</cp:coreProperties>
</file>