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DC" w:rsidRPr="00C917DC" w:rsidRDefault="00C917DC" w:rsidP="00C917DC">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بررسي و نقد نظريه چارلز تيلور[1]</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سيد محمد علي تقوي[2] </w:t>
      </w:r>
    </w:p>
    <w:p w:rsidR="00C917DC" w:rsidRPr="00C917DC" w:rsidRDefault="00C917DC" w:rsidP="00C917D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917DC">
        <w:rPr>
          <w:rFonts w:ascii="Arabic Transparent" w:eastAsia="Times New Roman" w:hAnsi="Arabic Transparent" w:cs="Arabic Transparent"/>
          <w:b/>
          <w:bCs/>
          <w:sz w:val="27"/>
          <w:szCs w:val="27"/>
          <w:rtl/>
        </w:rPr>
        <w:t>چکيده</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با افزايش روز افزون تنوع فرهنگي در جامعه</w:t>
      </w:r>
      <w:r w:rsidRPr="00C917DC">
        <w:rPr>
          <w:rFonts w:ascii="Arabic Transparent" w:eastAsia="Times New Roman" w:hAnsi="Arabic Transparent" w:cs="Arabic Transparent"/>
          <w:b/>
          <w:bCs/>
          <w:sz w:val="24"/>
          <w:szCs w:val="24"/>
          <w:rtl/>
        </w:rPr>
        <w:softHyphen/>
        <w:t>هاي غربي، بسياري از فيلسوفان سياسي به بررسي اهميت فرهنگ و تفاوت‏هاي فرهنگي در عرصه سياست پرداخته</w:t>
      </w:r>
      <w:r w:rsidRPr="00C917DC">
        <w:rPr>
          <w:rFonts w:ascii="Arabic Transparent" w:eastAsia="Times New Roman" w:hAnsi="Arabic Transparent" w:cs="Arabic Transparent"/>
          <w:b/>
          <w:bCs/>
          <w:sz w:val="24"/>
          <w:szCs w:val="24"/>
          <w:rtl/>
        </w:rPr>
        <w:softHyphen/>
        <w:t>اند. از اين جمله است: چارلز تيلور فيلسوف جامعه</w:t>
      </w:r>
      <w:r w:rsidRPr="00C917DC">
        <w:rPr>
          <w:rFonts w:ascii="Arabic Transparent" w:eastAsia="Times New Roman" w:hAnsi="Arabic Transparent" w:cs="Arabic Transparent"/>
          <w:b/>
          <w:bCs/>
          <w:sz w:val="24"/>
          <w:szCs w:val="24"/>
          <w:rtl/>
        </w:rPr>
        <w:softHyphen/>
        <w:t>گراي کانادايي، که مقاله "سياست به رسميت شناختن ]تفاوت‏هاي فرهنگي[" (</w:t>
      </w:r>
      <w:r w:rsidRPr="00C917DC">
        <w:rPr>
          <w:rFonts w:ascii="Arabic Transparent" w:eastAsia="Times New Roman" w:hAnsi="Arabic Transparent" w:cs="Arabic Transparent"/>
          <w:b/>
          <w:bCs/>
          <w:sz w:val="24"/>
          <w:szCs w:val="24"/>
        </w:rPr>
        <w:t>Taylor, 1992</w:t>
      </w:r>
      <w:r w:rsidRPr="00C917DC">
        <w:rPr>
          <w:rFonts w:ascii="Arabic Transparent" w:eastAsia="Times New Roman" w:hAnsi="Arabic Transparent" w:cs="Arabic Transparent"/>
          <w:b/>
          <w:bCs/>
          <w:sz w:val="24"/>
          <w:szCs w:val="24"/>
          <w:rtl/>
        </w:rPr>
        <w:t>) و دفاع فلسفي وي از به رسميت شناختن تفاوت‏هاي فرهنگي در عرصه سياست توجه بيشتر صاحب</w:t>
      </w:r>
      <w:r w:rsidRPr="00C917DC">
        <w:rPr>
          <w:rFonts w:ascii="Arabic Transparent" w:eastAsia="Times New Roman" w:hAnsi="Arabic Transparent" w:cs="Arabic Transparent"/>
          <w:b/>
          <w:bCs/>
          <w:sz w:val="24"/>
          <w:szCs w:val="24"/>
          <w:rtl/>
        </w:rPr>
        <w:softHyphen/>
        <w:t>نظران اين مبحث را برانگيخته است. با اين حال، ديدگاه تيلور به سبب سياسي کردن تمامي تفاوت‏هاي فرهنگي و القاي اين</w:t>
      </w:r>
      <w:r w:rsidRPr="00C917DC">
        <w:rPr>
          <w:rFonts w:ascii="Arabic Transparent" w:eastAsia="Times New Roman" w:hAnsi="Arabic Transparent" w:cs="Arabic Transparent"/>
          <w:b/>
          <w:bCs/>
          <w:sz w:val="24"/>
          <w:szCs w:val="24"/>
          <w:rtl/>
        </w:rPr>
        <w:softHyphen/>
        <w:t>که ضرورت اخلاقي به رسميت شناختن فرهنگ</w:t>
      </w:r>
      <w:r w:rsidRPr="00C917DC">
        <w:rPr>
          <w:rFonts w:ascii="Arabic Transparent" w:eastAsia="Times New Roman" w:hAnsi="Arabic Transparent" w:cs="Arabic Transparent"/>
          <w:b/>
          <w:bCs/>
          <w:sz w:val="24"/>
          <w:szCs w:val="24"/>
          <w:rtl/>
        </w:rPr>
        <w:softHyphen/>
        <w:t>هاي متفاوت ناشي از ارزشمند تلقي شدن آن</w:t>
      </w:r>
      <w:r w:rsidRPr="00C917DC">
        <w:rPr>
          <w:rFonts w:ascii="Arabic Transparent" w:eastAsia="Times New Roman" w:hAnsi="Arabic Transparent" w:cs="Arabic Transparent"/>
          <w:b/>
          <w:bCs/>
          <w:sz w:val="24"/>
          <w:szCs w:val="24"/>
          <w:rtl/>
        </w:rPr>
        <w:softHyphen/>
        <w:t>هاست، قابل نقد است. دليل</w:t>
      </w:r>
      <w:r w:rsidRPr="00C917DC">
        <w:rPr>
          <w:rFonts w:ascii="Arabic Transparent" w:eastAsia="Times New Roman" w:hAnsi="Arabic Transparent" w:cs="Arabic Transparent"/>
          <w:b/>
          <w:bCs/>
          <w:sz w:val="24"/>
          <w:szCs w:val="24"/>
          <w:rtl/>
        </w:rPr>
        <w:softHyphen/>
        <w:t>هاي او براي اثبات و نيز محدود ساختن ضرورت به رسميت شناختن تفاوت‏هاي فرهنگي قابل خدشه است. افزون بر اين، نظريه وي محدود به آن دسته از اقليت</w:t>
      </w:r>
      <w:r w:rsidRPr="00C917DC">
        <w:rPr>
          <w:rFonts w:ascii="Arabic Transparent" w:eastAsia="Times New Roman" w:hAnsi="Arabic Transparent" w:cs="Arabic Transparent"/>
          <w:b/>
          <w:bCs/>
          <w:sz w:val="24"/>
          <w:szCs w:val="24"/>
          <w:rtl/>
        </w:rPr>
        <w:softHyphen/>
        <w:t>هاي فرهنگي است که از تمرکز جغرافيايي برخوردارند.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واژگان كليدي: تيلور، فرهنگ، هويت، به رسميت شناختن, تفاوت‏هاي فرهنگي </w:t>
      </w:r>
    </w:p>
    <w:p w:rsidR="00C917DC" w:rsidRPr="00C917DC" w:rsidRDefault="00C917DC" w:rsidP="00C917D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917DC">
        <w:rPr>
          <w:rFonts w:ascii="Arabic Transparent" w:eastAsia="Times New Roman" w:hAnsi="Arabic Transparent" w:cs="Arabic Transparent"/>
          <w:b/>
          <w:bCs/>
          <w:sz w:val="27"/>
          <w:szCs w:val="27"/>
          <w:rtl/>
        </w:rPr>
        <w:t>مقدمه</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مقاله "سياست به رسميت شناختن[3] ]تفاوت‏هاي فرهنگي[" چارلز تيلور، فيلسوف جامعه</w:t>
      </w:r>
      <w:r w:rsidRPr="00C917DC">
        <w:rPr>
          <w:rFonts w:ascii="Arabic Transparent" w:eastAsia="Times New Roman" w:hAnsi="Arabic Transparent" w:cs="Arabic Transparent"/>
          <w:b/>
          <w:bCs/>
          <w:sz w:val="24"/>
          <w:szCs w:val="24"/>
          <w:rtl/>
        </w:rPr>
        <w:softHyphen/>
        <w:t>گراي کانادايي، يکي از روشن</w:t>
      </w:r>
      <w:r w:rsidRPr="00C917DC">
        <w:rPr>
          <w:rFonts w:ascii="Arabic Transparent" w:eastAsia="Times New Roman" w:hAnsi="Arabic Transparent" w:cs="Arabic Transparent"/>
          <w:b/>
          <w:bCs/>
          <w:sz w:val="24"/>
          <w:szCs w:val="24"/>
          <w:rtl/>
        </w:rPr>
        <w:softHyphen/>
        <w:t>گرترين کارهاي فلسفي در دفاع از به رسميت شناختن تفاوت‏هاي فرهنگي در حوزه عمومي جامعه (</w:t>
      </w:r>
      <w:r w:rsidRPr="00C917DC">
        <w:rPr>
          <w:rFonts w:ascii="Arabic Transparent" w:eastAsia="Times New Roman" w:hAnsi="Arabic Transparent" w:cs="Arabic Transparent"/>
          <w:b/>
          <w:bCs/>
          <w:sz w:val="24"/>
          <w:szCs w:val="24"/>
        </w:rPr>
        <w:t>the public sphere</w:t>
      </w:r>
      <w:r w:rsidRPr="00C917DC">
        <w:rPr>
          <w:rFonts w:ascii="Arabic Transparent" w:eastAsia="Times New Roman" w:hAnsi="Arabic Transparent" w:cs="Arabic Transparent"/>
          <w:b/>
          <w:bCs/>
          <w:sz w:val="24"/>
          <w:szCs w:val="24"/>
          <w:rtl/>
        </w:rPr>
        <w:t>) است. تحليل وي از "ويژگي گفتگويي خويشتن بودن"[4], اهميت فرهنگ در شالوده بخشي به هويت افراد را آشکار ساخته و به رسميت شناختن تفاوت‏هاي فرهنگي را به عنوان يک ضرورت اخلاقي و سياسي مطرح مي</w:t>
      </w:r>
      <w:r w:rsidRPr="00C917DC">
        <w:rPr>
          <w:rFonts w:ascii="Arabic Transparent" w:eastAsia="Times New Roman" w:hAnsi="Arabic Transparent" w:cs="Arabic Transparent"/>
          <w:b/>
          <w:bCs/>
          <w:sz w:val="24"/>
          <w:szCs w:val="24"/>
          <w:rtl/>
        </w:rPr>
        <w:softHyphen/>
        <w:t>کند. ديدگاه تيلور در زمينه ضرورت به رسميت شناختن تفاوت‏هاي فرهنگي تحليل</w:t>
      </w:r>
      <w:r w:rsidRPr="00C917DC">
        <w:rPr>
          <w:rFonts w:ascii="Arabic Transparent" w:eastAsia="Times New Roman" w:hAnsi="Arabic Transparent" w:cs="Arabic Transparent"/>
          <w:b/>
          <w:bCs/>
          <w:sz w:val="24"/>
          <w:szCs w:val="24"/>
          <w:rtl/>
        </w:rPr>
        <w:softHyphen/>
        <w:t>ها و نقدهاي بسياري در پي داشته است، به ويژه آن</w:t>
      </w:r>
      <w:r w:rsidRPr="00C917DC">
        <w:rPr>
          <w:rFonts w:ascii="Arabic Transparent" w:eastAsia="Times New Roman" w:hAnsi="Arabic Transparent" w:cs="Arabic Transparent"/>
          <w:b/>
          <w:bCs/>
          <w:sz w:val="24"/>
          <w:szCs w:val="24"/>
          <w:rtl/>
        </w:rPr>
        <w:softHyphen/>
        <w:t>که اين ديدگاه مي‏تواند پيامدهاي نامطلوبي هم</w:t>
      </w:r>
      <w:r w:rsidRPr="00C917DC">
        <w:rPr>
          <w:rFonts w:ascii="Arabic Transparent" w:eastAsia="Times New Roman" w:hAnsi="Arabic Transparent" w:cs="Arabic Transparent"/>
          <w:b/>
          <w:bCs/>
          <w:sz w:val="24"/>
          <w:szCs w:val="24"/>
          <w:rtl/>
        </w:rPr>
        <w:softHyphen/>
        <w:t>چون محدودسازي آزادي</w:t>
      </w:r>
      <w:r w:rsidRPr="00C917DC">
        <w:rPr>
          <w:rFonts w:ascii="Arabic Transparent" w:eastAsia="Times New Roman" w:hAnsi="Arabic Transparent" w:cs="Arabic Transparent"/>
          <w:b/>
          <w:bCs/>
          <w:sz w:val="24"/>
          <w:szCs w:val="24"/>
          <w:rtl/>
        </w:rPr>
        <w:softHyphen/>
        <w:t>هاي فردي و سياسي سازي تمامي تفاوت‏هاي فرهنگي را به دنبال داشته باشد. متاسفانه توجه منتقدان و صاحب</w:t>
      </w:r>
      <w:r w:rsidRPr="00C917DC">
        <w:rPr>
          <w:rFonts w:ascii="Arabic Transparent" w:eastAsia="Times New Roman" w:hAnsi="Arabic Transparent" w:cs="Arabic Transparent"/>
          <w:b/>
          <w:bCs/>
          <w:sz w:val="24"/>
          <w:szCs w:val="24"/>
          <w:rtl/>
        </w:rPr>
        <w:softHyphen/>
        <w:t>نظران تنها به کتاب سياست به رسميت شناختن ]تفاوت‏هاي فرهنگي[ معطوف بوده و ساير آثار تيلور مورد توجه کافي قرار نگرفته است. در حالي</w:t>
      </w:r>
      <w:r w:rsidRPr="00C917DC">
        <w:rPr>
          <w:rFonts w:ascii="Arabic Transparent" w:eastAsia="Times New Roman" w:hAnsi="Arabic Transparent" w:cs="Arabic Transparent"/>
          <w:b/>
          <w:bCs/>
          <w:sz w:val="24"/>
          <w:szCs w:val="24"/>
          <w:rtl/>
        </w:rPr>
        <w:softHyphen/>
        <w:t>که علاقه تيلور به مسأله فرهنگ از اين کتاب فراتر رفته و کارهاي قبلي وي, مانند مبادي خويشتن (</w:t>
      </w:r>
      <w:r w:rsidRPr="00C917DC">
        <w:rPr>
          <w:rFonts w:ascii="Arabic Transparent" w:eastAsia="Times New Roman" w:hAnsi="Arabic Transparent" w:cs="Arabic Transparent"/>
          <w:b/>
          <w:bCs/>
          <w:sz w:val="24"/>
          <w:szCs w:val="24"/>
        </w:rPr>
        <w:t>Taylor, 1989</w:t>
      </w:r>
      <w:r w:rsidRPr="00C917DC">
        <w:rPr>
          <w:rFonts w:ascii="Arabic Transparent" w:eastAsia="Times New Roman" w:hAnsi="Arabic Transparent" w:cs="Arabic Transparent"/>
          <w:b/>
          <w:bCs/>
          <w:sz w:val="24"/>
          <w:szCs w:val="24"/>
          <w:rtl/>
        </w:rPr>
        <w:t>) و نيز آثار جديد وي, هم</w:t>
      </w:r>
      <w:r w:rsidRPr="00C917DC">
        <w:rPr>
          <w:rFonts w:ascii="Arabic Transparent" w:eastAsia="Times New Roman" w:hAnsi="Arabic Transparent" w:cs="Arabic Transparent"/>
          <w:b/>
          <w:bCs/>
          <w:sz w:val="24"/>
          <w:szCs w:val="24"/>
          <w:rtl/>
        </w:rPr>
        <w:softHyphen/>
        <w:t>چون مباحث فلسفي (</w:t>
      </w:r>
      <w:r w:rsidRPr="00C917DC">
        <w:rPr>
          <w:rFonts w:ascii="Arabic Transparent" w:eastAsia="Times New Roman" w:hAnsi="Arabic Transparent" w:cs="Arabic Transparent"/>
          <w:b/>
          <w:bCs/>
          <w:sz w:val="24"/>
          <w:szCs w:val="24"/>
        </w:rPr>
        <w:t>Taylor, 1997</w:t>
      </w:r>
      <w:r w:rsidRPr="00C917DC">
        <w:rPr>
          <w:rFonts w:ascii="Arabic Transparent" w:eastAsia="Times New Roman" w:hAnsi="Arabic Transparent" w:cs="Arabic Transparent"/>
          <w:b/>
          <w:bCs/>
          <w:sz w:val="24"/>
          <w:szCs w:val="24"/>
          <w:rtl/>
        </w:rPr>
        <w:t>) را نيز شامل مي‏شود. او معتقد است که نظام</w:t>
      </w:r>
      <w:r w:rsidRPr="00C917DC">
        <w:rPr>
          <w:rFonts w:ascii="Arabic Transparent" w:eastAsia="Times New Roman" w:hAnsi="Arabic Transparent" w:cs="Arabic Transparent"/>
          <w:b/>
          <w:bCs/>
          <w:sz w:val="24"/>
          <w:szCs w:val="24"/>
          <w:rtl/>
        </w:rPr>
        <w:softHyphen/>
        <w:t>هاي ارزشي فرهنگ</w:t>
      </w:r>
      <w:r w:rsidRPr="00C917DC">
        <w:rPr>
          <w:rFonts w:ascii="Arabic Transparent" w:eastAsia="Times New Roman" w:hAnsi="Arabic Transparent" w:cs="Arabic Transparent"/>
          <w:b/>
          <w:bCs/>
          <w:sz w:val="24"/>
          <w:szCs w:val="24"/>
          <w:rtl/>
        </w:rPr>
        <w:softHyphen/>
        <w:t>هاي مختلف ناهمخوانند[5] و ليبراليسم معطوف به روش (</w:t>
      </w:r>
      <w:r w:rsidRPr="00C917DC">
        <w:rPr>
          <w:rFonts w:ascii="Arabic Transparent" w:eastAsia="Times New Roman" w:hAnsi="Arabic Transparent" w:cs="Arabic Transparent"/>
          <w:b/>
          <w:bCs/>
          <w:sz w:val="24"/>
          <w:szCs w:val="24"/>
        </w:rPr>
        <w:t>procedural liberalism</w:t>
      </w:r>
      <w:r w:rsidRPr="00C917DC">
        <w:rPr>
          <w:rFonts w:ascii="Arabic Transparent" w:eastAsia="Times New Roman" w:hAnsi="Arabic Transparent" w:cs="Arabic Transparent"/>
          <w:b/>
          <w:bCs/>
          <w:sz w:val="24"/>
          <w:szCs w:val="24"/>
          <w:rtl/>
        </w:rPr>
        <w:t>) را به سبب عدم توجه</w:t>
      </w:r>
      <w:r w:rsidRPr="00C917DC">
        <w:rPr>
          <w:rFonts w:ascii="Arabic Transparent" w:eastAsia="Times New Roman" w:hAnsi="Arabic Transparent" w:cs="Arabic Transparent"/>
          <w:b/>
          <w:bCs/>
          <w:sz w:val="24"/>
          <w:szCs w:val="24"/>
          <w:rtl/>
        </w:rPr>
        <w:softHyphen/>
        <w:t>اش به پيشبرد فرهنگ از طريق سياست و نيز مجاز نشمردن تخطي از يک مجموعه ثابت حقوق افراد براي همه جامعه</w:t>
      </w:r>
      <w:r w:rsidRPr="00C917DC">
        <w:rPr>
          <w:rFonts w:ascii="Arabic Transparent" w:eastAsia="Times New Roman" w:hAnsi="Arabic Transparent" w:cs="Arabic Transparent"/>
          <w:b/>
          <w:bCs/>
          <w:sz w:val="24"/>
          <w:szCs w:val="24"/>
          <w:rtl/>
        </w:rPr>
        <w:softHyphen/>
        <w:t>ها، مورد نقد قرار مي‏دهد.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در اين نوشته، نگارنده از مقاله "سياست به رسميت شناختن" فراتر رفته و جايگاه فرهنگ و تفاوت‏‏هاي فرهنگي را در تمامي آثار تيلور مورد بررسي قرار مي‏دهد. به ويژه، تلاش تيلور براي اثبات ضرورت سياست به رسميت شناختن تفاوت‏‏هاي فرهنگي بر مبناي "ويژگي گفتگويي خويشتن بودن" ارزيابي مي‏شود. اين سوال</w:t>
      </w:r>
      <w:r w:rsidRPr="00C917DC">
        <w:rPr>
          <w:rFonts w:ascii="Arabic Transparent" w:eastAsia="Times New Roman" w:hAnsi="Arabic Transparent" w:cs="Arabic Transparent"/>
          <w:b/>
          <w:bCs/>
          <w:sz w:val="24"/>
          <w:szCs w:val="24"/>
          <w:rtl/>
        </w:rPr>
        <w:softHyphen/>
        <w:t>ها نيز بررسي مي‏شود که آيا ديدگاه وي به سياسي انگاشته شدن تمامي جنبه</w:t>
      </w:r>
      <w:r w:rsidRPr="00C917DC">
        <w:rPr>
          <w:rFonts w:ascii="Arabic Transparent" w:eastAsia="Times New Roman" w:hAnsi="Arabic Transparent" w:cs="Arabic Transparent"/>
          <w:b/>
          <w:bCs/>
          <w:sz w:val="24"/>
          <w:szCs w:val="24"/>
          <w:rtl/>
        </w:rPr>
        <w:softHyphen/>
        <w:t>هاي هويت افراد نمي‏انجامد، آيا وي ضرورت به رسميت شناختن فرهنگ</w:t>
      </w:r>
      <w:r w:rsidRPr="00C917DC">
        <w:rPr>
          <w:rFonts w:ascii="Arabic Transparent" w:eastAsia="Times New Roman" w:hAnsi="Arabic Transparent" w:cs="Arabic Transparent"/>
          <w:b/>
          <w:bCs/>
          <w:sz w:val="24"/>
          <w:szCs w:val="24"/>
          <w:rtl/>
        </w:rPr>
        <w:softHyphen/>
        <w:t>ها را در گرو ارزشمند بودن آن</w:t>
      </w:r>
      <w:r w:rsidRPr="00C917DC">
        <w:rPr>
          <w:rFonts w:ascii="Arabic Transparent" w:eastAsia="Times New Roman" w:hAnsi="Arabic Transparent" w:cs="Arabic Transparent"/>
          <w:b/>
          <w:bCs/>
          <w:sz w:val="24"/>
          <w:szCs w:val="24"/>
          <w:rtl/>
        </w:rPr>
        <w:softHyphen/>
        <w:t>ها قرار نمي‏دهد و آيا جانبداري وي از کمک به بقاي فرهنگ</w:t>
      </w:r>
      <w:r w:rsidRPr="00C917DC">
        <w:rPr>
          <w:rFonts w:ascii="Arabic Transparent" w:eastAsia="Times New Roman" w:hAnsi="Arabic Transparent" w:cs="Arabic Transparent"/>
          <w:b/>
          <w:bCs/>
          <w:sz w:val="24"/>
          <w:szCs w:val="24"/>
          <w:rtl/>
        </w:rPr>
        <w:softHyphen/>
        <w:t>ها تنها به سود جامعه</w:t>
      </w:r>
      <w:r w:rsidRPr="00C917DC">
        <w:rPr>
          <w:rFonts w:ascii="Arabic Transparent" w:eastAsia="Times New Roman" w:hAnsi="Arabic Transparent" w:cs="Arabic Transparent"/>
          <w:b/>
          <w:bCs/>
          <w:sz w:val="24"/>
          <w:szCs w:val="24"/>
          <w:rtl/>
        </w:rPr>
        <w:softHyphen/>
        <w:t>هاي فرهنگي متمرکز در يک منطقه جغرافيايي(</w:t>
      </w:r>
      <w:r w:rsidRPr="00C917DC">
        <w:rPr>
          <w:rFonts w:ascii="Arabic Transparent" w:eastAsia="Times New Roman" w:hAnsi="Arabic Transparent" w:cs="Arabic Transparent"/>
          <w:b/>
          <w:bCs/>
          <w:sz w:val="24"/>
          <w:szCs w:val="24"/>
        </w:rPr>
        <w:t>geographically concentrated cultural communities</w:t>
      </w:r>
      <w:r w:rsidRPr="00C917DC">
        <w:rPr>
          <w:rFonts w:ascii="Arabic Transparent" w:eastAsia="Times New Roman" w:hAnsi="Arabic Transparent" w:cs="Arabic Transparent"/>
          <w:b/>
          <w:bCs/>
          <w:sz w:val="24"/>
          <w:szCs w:val="24"/>
          <w:rtl/>
        </w:rPr>
        <w:t>) نيست؟</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در اين مقاله، ابتدا نظريه</w:t>
      </w:r>
      <w:r w:rsidRPr="00C917DC">
        <w:rPr>
          <w:rFonts w:ascii="Arabic Transparent" w:eastAsia="Times New Roman" w:hAnsi="Arabic Transparent" w:cs="Arabic Transparent"/>
          <w:b/>
          <w:bCs/>
          <w:sz w:val="24"/>
          <w:szCs w:val="24"/>
          <w:rtl/>
        </w:rPr>
        <w:softHyphen/>
        <w:t>هاي معرفت</w:t>
      </w:r>
      <w:r w:rsidRPr="00C917DC">
        <w:rPr>
          <w:rFonts w:ascii="Arabic Transparent" w:eastAsia="Times New Roman" w:hAnsi="Arabic Transparent" w:cs="Arabic Transparent"/>
          <w:b/>
          <w:bCs/>
          <w:sz w:val="24"/>
          <w:szCs w:val="24"/>
          <w:rtl/>
        </w:rPr>
        <w:softHyphen/>
        <w:t>شناختي تيلور و نقد وي بر معرفت</w:t>
      </w:r>
      <w:r w:rsidRPr="00C917DC">
        <w:rPr>
          <w:rFonts w:ascii="Arabic Transparent" w:eastAsia="Times New Roman" w:hAnsi="Arabic Transparent" w:cs="Arabic Transparent"/>
          <w:b/>
          <w:bCs/>
          <w:sz w:val="24"/>
          <w:szCs w:val="24"/>
          <w:rtl/>
        </w:rPr>
        <w:softHyphen/>
        <w:t>شناسي مدرن بررسي مي‏شود و ديده مي‏شود که چگونه ديدگاه وي در باب شکل گرفتن فهم (</w:t>
      </w:r>
      <w:r w:rsidRPr="00C917DC">
        <w:rPr>
          <w:rFonts w:ascii="Arabic Transparent" w:eastAsia="Times New Roman" w:hAnsi="Arabic Transparent" w:cs="Arabic Transparent"/>
          <w:b/>
          <w:bCs/>
          <w:sz w:val="24"/>
          <w:szCs w:val="24"/>
        </w:rPr>
        <w:t>understanding</w:t>
      </w:r>
      <w:r w:rsidRPr="00C917DC">
        <w:rPr>
          <w:rFonts w:ascii="Arabic Transparent" w:eastAsia="Times New Roman" w:hAnsi="Arabic Transparent" w:cs="Arabic Transparent"/>
          <w:b/>
          <w:bCs/>
          <w:sz w:val="24"/>
          <w:szCs w:val="24"/>
          <w:rtl/>
        </w:rPr>
        <w:t>) در متن[6]، جهان</w:t>
      </w:r>
      <w:r w:rsidRPr="00C917DC">
        <w:rPr>
          <w:rFonts w:ascii="Arabic Transparent" w:eastAsia="Times New Roman" w:hAnsi="Arabic Transparent" w:cs="Arabic Transparent"/>
          <w:b/>
          <w:bCs/>
          <w:sz w:val="24"/>
          <w:szCs w:val="24"/>
          <w:rtl/>
        </w:rPr>
        <w:softHyphen/>
        <w:t>شمول بودن عقل عملي را زير سوال برده و خاص بودن (</w:t>
      </w:r>
      <w:r w:rsidRPr="00C917DC">
        <w:rPr>
          <w:rFonts w:ascii="Arabic Transparent" w:eastAsia="Times New Roman" w:hAnsi="Arabic Transparent" w:cs="Arabic Transparent"/>
          <w:b/>
          <w:bCs/>
          <w:sz w:val="24"/>
          <w:szCs w:val="24"/>
        </w:rPr>
        <w:t>particularity</w:t>
      </w:r>
      <w:r w:rsidRPr="00C917DC">
        <w:rPr>
          <w:rFonts w:ascii="Arabic Transparent" w:eastAsia="Times New Roman" w:hAnsi="Arabic Transparent" w:cs="Arabic Transparent"/>
          <w:b/>
          <w:bCs/>
          <w:sz w:val="24"/>
          <w:szCs w:val="24"/>
          <w:rtl/>
        </w:rPr>
        <w:t>) آن را مورد تأکيد قرار مي‏دهد.</w:t>
      </w:r>
    </w:p>
    <w:p w:rsidR="00C917DC" w:rsidRPr="00C917DC" w:rsidRDefault="00C917DC" w:rsidP="00C917D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917DC">
        <w:rPr>
          <w:rFonts w:ascii="Arabic Transparent" w:eastAsia="Times New Roman" w:hAnsi="Arabic Transparent" w:cs="Arabic Transparent"/>
          <w:b/>
          <w:bCs/>
          <w:sz w:val="27"/>
          <w:szCs w:val="27"/>
          <w:rtl/>
        </w:rPr>
        <w:t>1_ شکل</w:t>
      </w:r>
      <w:r w:rsidRPr="00C917DC">
        <w:rPr>
          <w:rFonts w:ascii="Arabic Transparent" w:eastAsia="Times New Roman" w:hAnsi="Arabic Transparent" w:cs="Arabic Transparent"/>
          <w:b/>
          <w:bCs/>
          <w:sz w:val="27"/>
          <w:szCs w:val="27"/>
          <w:rtl/>
        </w:rPr>
        <w:softHyphen/>
        <w:t>گيري فهم در متن</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lastRenderedPageBreak/>
        <w:t>تيلور يکي از منتقدان شناخت</w:t>
      </w:r>
      <w:r w:rsidRPr="00C917DC">
        <w:rPr>
          <w:rFonts w:ascii="Arabic Transparent" w:eastAsia="Times New Roman" w:hAnsi="Arabic Transparent" w:cs="Arabic Transparent"/>
          <w:b/>
          <w:bCs/>
          <w:sz w:val="24"/>
          <w:szCs w:val="24"/>
          <w:rtl/>
        </w:rPr>
        <w:softHyphen/>
        <w:t>شناسي مدرن، يا آن</w:t>
      </w:r>
      <w:r w:rsidRPr="00C917DC">
        <w:rPr>
          <w:rFonts w:ascii="Arabic Transparent" w:eastAsia="Times New Roman" w:hAnsi="Arabic Transparent" w:cs="Arabic Transparent"/>
          <w:b/>
          <w:bCs/>
          <w:sz w:val="24"/>
          <w:szCs w:val="24"/>
          <w:rtl/>
        </w:rPr>
        <w:softHyphen/>
        <w:t>چه خود "سنت شناخت</w:t>
      </w:r>
      <w:r w:rsidRPr="00C917DC">
        <w:rPr>
          <w:rFonts w:ascii="Arabic Transparent" w:eastAsia="Times New Roman" w:hAnsi="Arabic Transparent" w:cs="Arabic Transparent"/>
          <w:b/>
          <w:bCs/>
          <w:sz w:val="24"/>
          <w:szCs w:val="24"/>
          <w:rtl/>
        </w:rPr>
        <w:softHyphen/>
        <w:t>شناسي"(</w:t>
      </w:r>
      <w:r w:rsidRPr="00C917DC">
        <w:rPr>
          <w:rFonts w:ascii="Arabic Transparent" w:eastAsia="Times New Roman" w:hAnsi="Arabic Transparent" w:cs="Arabic Transparent"/>
          <w:b/>
          <w:bCs/>
          <w:sz w:val="24"/>
          <w:szCs w:val="24"/>
        </w:rPr>
        <w:t>The</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epistemological tradition</w:t>
      </w:r>
      <w:r w:rsidRPr="00C917DC">
        <w:rPr>
          <w:rFonts w:ascii="Arabic Transparent" w:eastAsia="Times New Roman" w:hAnsi="Arabic Transparent" w:cs="Arabic Transparent"/>
          <w:b/>
          <w:bCs/>
          <w:sz w:val="24"/>
          <w:szCs w:val="24"/>
          <w:rtl/>
        </w:rPr>
        <w:t>) مي‏نامد است. زيرا در اين سنت تصور بر آن است که" بدون اشعار بر زندگي و تجربه انسان، که هيچ</w:t>
      </w:r>
      <w:r w:rsidRPr="00C917DC">
        <w:rPr>
          <w:rFonts w:ascii="Arabic Transparent" w:eastAsia="Times New Roman" w:hAnsi="Arabic Transparent" w:cs="Arabic Transparent"/>
          <w:b/>
          <w:bCs/>
          <w:sz w:val="24"/>
          <w:szCs w:val="24"/>
          <w:rtl/>
        </w:rPr>
        <w:softHyphen/>
        <w:t>گاه به طور کامل قابل تشريح نيستند، به طور كامل مي‏توان دريافت که دانستن چيست" (</w:t>
      </w:r>
      <w:r w:rsidRPr="00C917DC">
        <w:rPr>
          <w:rFonts w:ascii="Arabic Transparent" w:eastAsia="Times New Roman" w:hAnsi="Arabic Transparent" w:cs="Arabic Transparent"/>
          <w:b/>
          <w:bCs/>
          <w:sz w:val="24"/>
          <w:szCs w:val="24"/>
        </w:rPr>
        <w:t>Taylor, 1997: vii-viii</w:t>
      </w:r>
      <w:r w:rsidRPr="00C917DC">
        <w:rPr>
          <w:rFonts w:ascii="Arabic Transparent" w:eastAsia="Times New Roman" w:hAnsi="Arabic Transparent" w:cs="Arabic Transparent"/>
          <w:b/>
          <w:bCs/>
          <w:sz w:val="24"/>
          <w:szCs w:val="24"/>
          <w:rtl/>
        </w:rPr>
        <w:t>). اين در حالي است که ما امور را از طريق توانايي</w:t>
      </w:r>
      <w:r w:rsidRPr="00C917DC">
        <w:rPr>
          <w:rFonts w:ascii="Arabic Transparent" w:eastAsia="Times New Roman" w:hAnsi="Arabic Transparent" w:cs="Arabic Transparent"/>
          <w:b/>
          <w:bCs/>
          <w:sz w:val="24"/>
          <w:szCs w:val="24"/>
          <w:rtl/>
        </w:rPr>
        <w:softHyphen/>
        <w:t>مان براي عمل و در تعامل با جهان درک مي‏کنيم. همانند آن</w:t>
      </w:r>
      <w:r w:rsidRPr="00C917DC">
        <w:rPr>
          <w:rFonts w:ascii="Arabic Transparent" w:eastAsia="Times New Roman" w:hAnsi="Arabic Transparent" w:cs="Arabic Transparent"/>
          <w:b/>
          <w:bCs/>
          <w:sz w:val="24"/>
          <w:szCs w:val="24"/>
          <w:rtl/>
        </w:rPr>
        <w:softHyphen/>
        <w:t>چه کانت خصوصيات استعلايي مي‏خواند، يکي از ويژگي</w:t>
      </w:r>
      <w:r w:rsidRPr="00C917DC">
        <w:rPr>
          <w:rFonts w:ascii="Arabic Transparent" w:eastAsia="Times New Roman" w:hAnsi="Arabic Transparent" w:cs="Arabic Transparent"/>
          <w:b/>
          <w:bCs/>
          <w:sz w:val="24"/>
          <w:szCs w:val="24"/>
          <w:rtl/>
        </w:rPr>
        <w:softHyphen/>
        <w:t>هاي بنيادين تجربه</w:t>
      </w:r>
      <w:r w:rsidRPr="00C917DC">
        <w:rPr>
          <w:rFonts w:ascii="Arabic Transparent" w:eastAsia="Times New Roman" w:hAnsi="Arabic Transparent" w:cs="Arabic Transparent"/>
          <w:b/>
          <w:bCs/>
          <w:sz w:val="24"/>
          <w:szCs w:val="24"/>
          <w:rtl/>
        </w:rPr>
        <w:softHyphen/>
        <w:t>ها و ادراک</w:t>
      </w:r>
      <w:r w:rsidRPr="00C917DC">
        <w:rPr>
          <w:rFonts w:ascii="Arabic Transparent" w:eastAsia="Times New Roman" w:hAnsi="Arabic Transparent" w:cs="Arabic Transparent"/>
          <w:b/>
          <w:bCs/>
          <w:sz w:val="24"/>
          <w:szCs w:val="24"/>
          <w:rtl/>
        </w:rPr>
        <w:softHyphen/>
        <w:t>هاي ما آن است که در متن ]زندگي[ شکل مي‏گيرند. غير ممکن بودن عدم تعامل با جهان به منزله غير ممکن بودن درک بي</w:t>
      </w:r>
      <w:r w:rsidRPr="00C917DC">
        <w:rPr>
          <w:rFonts w:ascii="Arabic Transparent" w:eastAsia="Times New Roman" w:hAnsi="Arabic Transparent" w:cs="Arabic Transparent"/>
          <w:b/>
          <w:bCs/>
          <w:sz w:val="24"/>
          <w:szCs w:val="24"/>
          <w:rtl/>
        </w:rPr>
        <w:softHyphen/>
        <w:t>طرفانه از جهان است و اين به نوبه خود بنيانگرايي (</w:t>
      </w:r>
      <w:proofErr w:type="spellStart"/>
      <w:r w:rsidRPr="00C917DC">
        <w:rPr>
          <w:rFonts w:ascii="Arabic Transparent" w:eastAsia="Times New Roman" w:hAnsi="Arabic Transparent" w:cs="Arabic Transparent"/>
          <w:b/>
          <w:bCs/>
          <w:sz w:val="24"/>
          <w:szCs w:val="24"/>
        </w:rPr>
        <w:t>Foundationalism</w:t>
      </w:r>
      <w:proofErr w:type="spellEnd"/>
      <w:r w:rsidRPr="00C917DC">
        <w:rPr>
          <w:rFonts w:ascii="Arabic Transparent" w:eastAsia="Times New Roman" w:hAnsi="Arabic Transparent" w:cs="Arabic Transparent"/>
          <w:b/>
          <w:bCs/>
          <w:sz w:val="24"/>
          <w:szCs w:val="24"/>
          <w:rtl/>
        </w:rPr>
        <w:t>) و نظريه باز نمايش (</w:t>
      </w:r>
      <w:proofErr w:type="spellStart"/>
      <w:r w:rsidRPr="00C917DC">
        <w:rPr>
          <w:rFonts w:ascii="Arabic Transparent" w:eastAsia="Times New Roman" w:hAnsi="Arabic Transparent" w:cs="Arabic Transparent"/>
          <w:b/>
          <w:bCs/>
          <w:sz w:val="24"/>
          <w:szCs w:val="24"/>
        </w:rPr>
        <w:t>Representationalism</w:t>
      </w:r>
      <w:proofErr w:type="spellEnd"/>
      <w:r w:rsidRPr="00C917DC">
        <w:rPr>
          <w:rFonts w:ascii="Arabic Transparent" w:eastAsia="Times New Roman" w:hAnsi="Arabic Transparent" w:cs="Arabic Transparent"/>
          <w:b/>
          <w:bCs/>
          <w:sz w:val="24"/>
          <w:szCs w:val="24"/>
          <w:rtl/>
        </w:rPr>
        <w:t>) را زير سؤال مي‏برد. دانش و تجربه</w:t>
      </w:r>
      <w:r w:rsidRPr="00C917DC">
        <w:rPr>
          <w:rFonts w:ascii="Arabic Transparent" w:eastAsia="Times New Roman" w:hAnsi="Arabic Transparent" w:cs="Arabic Transparent"/>
          <w:b/>
          <w:bCs/>
          <w:sz w:val="24"/>
          <w:szCs w:val="24"/>
          <w:rtl/>
        </w:rPr>
        <w:softHyphen/>
        <w:t>هاي پيشين ما، که خود محصول تعامل با جهان هستنند، يک زمينه ادراکي را شکل مي‏دهد که ما در آن در مورد امور مي‏انديشيم. اگر چه ما نمي‏توانيم اين زمينه را به عنوان يک موضوع دانستن مورد بررسي قرار دهيم، مي‏توانيم آن را تشريح کنيم، يا بخش‏هايي از آن را مورد سؤال و تجديد نظر قرار دهيم، البته تنها در صورتي که بقيه بخش</w:t>
      </w:r>
      <w:r w:rsidRPr="00C917DC">
        <w:rPr>
          <w:rFonts w:ascii="Arabic Transparent" w:eastAsia="Times New Roman" w:hAnsi="Arabic Transparent" w:cs="Arabic Transparent"/>
          <w:b/>
          <w:bCs/>
          <w:sz w:val="24"/>
          <w:szCs w:val="24"/>
          <w:rtl/>
        </w:rPr>
        <w:softHyphen/>
        <w:t>ها را بدون سؤال بپذيريم (</w:t>
      </w:r>
      <w:r w:rsidRPr="00C917DC">
        <w:rPr>
          <w:rFonts w:ascii="Arabic Transparent" w:eastAsia="Times New Roman" w:hAnsi="Arabic Transparent" w:cs="Arabic Transparent"/>
          <w:b/>
          <w:bCs/>
          <w:sz w:val="24"/>
          <w:szCs w:val="24"/>
        </w:rPr>
        <w:t>Taylor, 1997: 12</w:t>
      </w:r>
      <w:r w:rsidRPr="00C917DC">
        <w:rPr>
          <w:rFonts w:ascii="Arabic Transparent" w:eastAsia="Times New Roman" w:hAnsi="Arabic Transparent" w:cs="Arabic Transparent"/>
          <w:b/>
          <w:bCs/>
          <w:sz w:val="24"/>
          <w:szCs w:val="24"/>
          <w:rtl/>
        </w:rPr>
        <w:t>). با اين همه، زمينه مزبور اساسا بدون سؤال، پذيرفته تلقي مي‏شود، در حالي که آکنده از سؤال</w:t>
      </w:r>
      <w:r w:rsidRPr="00C917DC">
        <w:rPr>
          <w:rFonts w:ascii="Arabic Transparent" w:eastAsia="Times New Roman" w:hAnsi="Arabic Transparent" w:cs="Arabic Transparent"/>
          <w:b/>
          <w:bCs/>
          <w:sz w:val="24"/>
          <w:szCs w:val="24"/>
          <w:rtl/>
        </w:rPr>
        <w:softHyphen/>
        <w:t>هاي پاسخ نيافته است. اين در حالي است که سنت فکري مدرن در جستجوي بنيان‏هايي است که خود توضيح دهنده خويش (</w:t>
      </w:r>
      <w:r w:rsidRPr="00C917DC">
        <w:rPr>
          <w:rFonts w:ascii="Arabic Transparent" w:eastAsia="Times New Roman" w:hAnsi="Arabic Transparent" w:cs="Arabic Transparent"/>
          <w:b/>
          <w:bCs/>
          <w:sz w:val="24"/>
          <w:szCs w:val="24"/>
        </w:rPr>
        <w:t>self-explanatory foundations</w:t>
      </w:r>
      <w:r w:rsidRPr="00C917DC">
        <w:rPr>
          <w:rFonts w:ascii="Arabic Transparent" w:eastAsia="Times New Roman" w:hAnsi="Arabic Transparent" w:cs="Arabic Transparent"/>
          <w:b/>
          <w:bCs/>
          <w:sz w:val="24"/>
          <w:szCs w:val="24"/>
          <w:rtl/>
        </w:rPr>
        <w:t xml:space="preserve">) باشند و بالقوه همه امور را شفاف شونده مي‏انگارد. </w:t>
      </w:r>
    </w:p>
    <w:p w:rsidR="00C917DC" w:rsidRPr="00C917DC" w:rsidRDefault="00C917DC" w:rsidP="00C917D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917DC">
        <w:rPr>
          <w:rFonts w:ascii="Arabic Transparent" w:eastAsia="Times New Roman" w:hAnsi="Arabic Transparent" w:cs="Arabic Transparent"/>
          <w:b/>
          <w:bCs/>
          <w:sz w:val="27"/>
          <w:szCs w:val="27"/>
          <w:rtl/>
        </w:rPr>
        <w:t>ادراك و فرهنگ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مي‏توان گفت که نقد تيلور بر شناخت</w:t>
      </w:r>
      <w:r w:rsidRPr="00C917DC">
        <w:rPr>
          <w:rFonts w:ascii="Arabic Transparent" w:eastAsia="Times New Roman" w:hAnsi="Arabic Transparent" w:cs="Arabic Transparent"/>
          <w:b/>
          <w:bCs/>
          <w:sz w:val="24"/>
          <w:szCs w:val="24"/>
          <w:rtl/>
        </w:rPr>
        <w:softHyphen/>
        <w:t>شناسي مدرن امکان داشتن برداشتي جهان</w:t>
      </w:r>
      <w:r w:rsidRPr="00C917DC">
        <w:rPr>
          <w:rFonts w:ascii="Arabic Transparent" w:eastAsia="Times New Roman" w:hAnsi="Arabic Transparent" w:cs="Arabic Transparent"/>
          <w:b/>
          <w:bCs/>
          <w:sz w:val="24"/>
          <w:szCs w:val="24"/>
          <w:rtl/>
        </w:rPr>
        <w:softHyphen/>
        <w:t>شمول از عقلانيت را مورد سؤال قرار مي‏دهد. مردود شمردن نظريه بازنمايش، که دانستن بدون ملاحظه هيچ</w:t>
      </w:r>
      <w:r w:rsidRPr="00C917DC">
        <w:rPr>
          <w:rFonts w:ascii="Arabic Transparent" w:eastAsia="Times New Roman" w:hAnsi="Arabic Transparent" w:cs="Arabic Transparent"/>
          <w:b/>
          <w:bCs/>
          <w:sz w:val="24"/>
          <w:szCs w:val="24"/>
          <w:rtl/>
        </w:rPr>
        <w:softHyphen/>
        <w:t>گونه ارتباطي با انسان و علائقش را ايده</w:t>
      </w:r>
      <w:r w:rsidRPr="00C917DC">
        <w:rPr>
          <w:rFonts w:ascii="Arabic Transparent" w:eastAsia="Times New Roman" w:hAnsi="Arabic Transparent" w:cs="Arabic Transparent"/>
          <w:b/>
          <w:bCs/>
          <w:sz w:val="24"/>
          <w:szCs w:val="24"/>
          <w:rtl/>
        </w:rPr>
        <w:softHyphen/>
        <w:t>آل خود مي‏داند و نيز سخن گفتن از زمينه درک، که در جريان تعامل با جهان شکل مي‏گيرد، تيلور را به سمت جانبداري از فهم خاص يا غيرجهان</w:t>
      </w:r>
      <w:r w:rsidRPr="00C917DC">
        <w:rPr>
          <w:rFonts w:ascii="Arabic Transparent" w:eastAsia="Times New Roman" w:hAnsi="Arabic Transparent" w:cs="Arabic Transparent"/>
          <w:b/>
          <w:bCs/>
          <w:sz w:val="24"/>
          <w:szCs w:val="24"/>
          <w:rtl/>
        </w:rPr>
        <w:softHyphen/>
        <w:t>شمول از جهان سوق مي</w:t>
      </w:r>
      <w:r w:rsidRPr="00C917DC">
        <w:rPr>
          <w:rFonts w:ascii="Arabic Transparent" w:eastAsia="Times New Roman" w:hAnsi="Arabic Transparent" w:cs="Arabic Transparent"/>
          <w:b/>
          <w:bCs/>
          <w:sz w:val="24"/>
          <w:szCs w:val="24"/>
          <w:rtl/>
        </w:rPr>
        <w:softHyphen/>
        <w:t>دهد. به همين دليل است که وي مدعي است "ما نبايد بپنداريم که مي‏توانيم کساني را که مطلقاً هيچ بخش از شهود اخلاقي ما را نمي‏پذيرند قانع کنيم که عمل درستي را انجام داده ايم" (</w:t>
      </w:r>
      <w:r w:rsidRPr="00C917DC">
        <w:rPr>
          <w:rFonts w:ascii="Arabic Transparent" w:eastAsia="Times New Roman" w:hAnsi="Arabic Transparent" w:cs="Arabic Transparent"/>
          <w:b/>
          <w:bCs/>
          <w:sz w:val="24"/>
          <w:szCs w:val="24"/>
        </w:rPr>
        <w:t>Taylor, 1989: 71-72</w:t>
      </w:r>
      <w:r w:rsidRPr="00C917DC">
        <w:rPr>
          <w:rFonts w:ascii="Arabic Transparent" w:eastAsia="Times New Roman" w:hAnsi="Arabic Transparent" w:cs="Arabic Transparent"/>
          <w:b/>
          <w:bCs/>
          <w:sz w:val="24"/>
          <w:szCs w:val="24"/>
          <w:rtl/>
        </w:rPr>
        <w:t>). چنان</w:t>
      </w:r>
      <w:r w:rsidRPr="00C917DC">
        <w:rPr>
          <w:rFonts w:ascii="Arabic Transparent" w:eastAsia="Times New Roman" w:hAnsi="Arabic Transparent" w:cs="Arabic Transparent"/>
          <w:b/>
          <w:bCs/>
          <w:sz w:val="24"/>
          <w:szCs w:val="24"/>
          <w:rtl/>
        </w:rPr>
        <w:softHyphen/>
        <w:t>که از سخن تيلور در باب تفاوت فرهنگ‏ها و گفت و گوي ميان آن‏ها پيداست، مي‏توان گفت که وي فرهنگ را يکي از عوامل تحديد کننده فهم جهان</w:t>
      </w:r>
      <w:r w:rsidRPr="00C917DC">
        <w:rPr>
          <w:rFonts w:ascii="Arabic Transparent" w:eastAsia="Times New Roman" w:hAnsi="Arabic Transparent" w:cs="Arabic Transparent"/>
          <w:b/>
          <w:bCs/>
          <w:sz w:val="24"/>
          <w:szCs w:val="24"/>
          <w:rtl/>
        </w:rPr>
        <w:softHyphen/>
        <w:t xml:space="preserve">شمول مي‏داند.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البته، از ديدگاه تيلور، داوري عقلاني ميان سنت‏هاي مختلف اخلاقي با ارجاع به بنياد‏هاي مشترک امكان</w:t>
      </w:r>
      <w:r w:rsidRPr="00C917DC">
        <w:rPr>
          <w:rFonts w:ascii="Arabic Transparent" w:eastAsia="Times New Roman" w:hAnsi="Arabic Transparent" w:cs="Arabic Transparent"/>
          <w:b/>
          <w:bCs/>
          <w:sz w:val="24"/>
          <w:szCs w:val="24"/>
          <w:rtl/>
        </w:rPr>
        <w:softHyphen/>
        <w:t>پذير است. عقل عملي شخصي[7]از طريق پرورش دادن ديدگاه‏هايي که به طور حاشيه</w:t>
      </w:r>
      <w:r w:rsidRPr="00C917DC">
        <w:rPr>
          <w:rFonts w:ascii="Arabic Transparent" w:eastAsia="Times New Roman" w:hAnsi="Arabic Transparent" w:cs="Arabic Transparent"/>
          <w:b/>
          <w:bCs/>
          <w:sz w:val="24"/>
          <w:szCs w:val="24"/>
          <w:rtl/>
        </w:rPr>
        <w:softHyphen/>
        <w:t>اي در همه فرهنگ‏ها وجود دارد، مي‏تواند مورد استفاده قرار گيرد (</w:t>
      </w:r>
      <w:r w:rsidRPr="00C917DC">
        <w:rPr>
          <w:rFonts w:ascii="Arabic Transparent" w:eastAsia="Times New Roman" w:hAnsi="Arabic Transparent" w:cs="Arabic Transparent"/>
          <w:b/>
          <w:bCs/>
          <w:sz w:val="24"/>
          <w:szCs w:val="24"/>
        </w:rPr>
        <w:t>Taylor, 1997: 55-56</w:t>
      </w:r>
      <w:r w:rsidRPr="00C917DC">
        <w:rPr>
          <w:rFonts w:ascii="Arabic Transparent" w:eastAsia="Times New Roman" w:hAnsi="Arabic Transparent" w:cs="Arabic Transparent"/>
          <w:b/>
          <w:bCs/>
          <w:sz w:val="24"/>
          <w:szCs w:val="24"/>
          <w:rtl/>
        </w:rPr>
        <w:t>). وي معتقد است که با اين شيوه مي‏توان کاستي جهان</w:t>
      </w:r>
      <w:r w:rsidRPr="00C917DC">
        <w:rPr>
          <w:rFonts w:ascii="Arabic Transparent" w:eastAsia="Times New Roman" w:hAnsi="Arabic Transparent" w:cs="Arabic Transparent"/>
          <w:b/>
          <w:bCs/>
          <w:sz w:val="24"/>
          <w:szCs w:val="24"/>
          <w:rtl/>
        </w:rPr>
        <w:softHyphen/>
        <w:t>شناسي(</w:t>
      </w:r>
      <w:r w:rsidRPr="00C917DC">
        <w:rPr>
          <w:rFonts w:ascii="Arabic Transparent" w:eastAsia="Times New Roman" w:hAnsi="Arabic Transparent" w:cs="Arabic Transparent"/>
          <w:b/>
          <w:bCs/>
          <w:sz w:val="24"/>
          <w:szCs w:val="24"/>
        </w:rPr>
        <w:t>cosmology</w:t>
      </w:r>
      <w:r w:rsidRPr="00C917DC">
        <w:rPr>
          <w:rFonts w:ascii="Arabic Transparent" w:eastAsia="Times New Roman" w:hAnsi="Arabic Transparent" w:cs="Arabic Transparent"/>
          <w:b/>
          <w:bCs/>
          <w:sz w:val="24"/>
          <w:szCs w:val="24"/>
          <w:rtl/>
        </w:rPr>
        <w:t>) برخي فرهنگ</w:t>
      </w:r>
      <w:r w:rsidRPr="00C917DC">
        <w:rPr>
          <w:rFonts w:ascii="Arabic Transparent" w:eastAsia="Times New Roman" w:hAnsi="Arabic Transparent" w:cs="Arabic Transparent"/>
          <w:b/>
          <w:bCs/>
          <w:sz w:val="24"/>
          <w:szCs w:val="24"/>
          <w:rtl/>
        </w:rPr>
        <w:softHyphen/>
        <w:t>ها را آشکار ساخت. با اين حال، گاه حوزه مشترکات دو فرهنگ آنقدر اندک و ميزان تفاوت‏‏هايشان آنقدر گسترده است که نمي‏توان به داوري ميان آن‏ها پرداخت. در چنين مواردي آنچه مانع از بهره</w:t>
      </w:r>
      <w:r w:rsidRPr="00C917DC">
        <w:rPr>
          <w:rFonts w:ascii="Arabic Transparent" w:eastAsia="Times New Roman" w:hAnsi="Arabic Transparent" w:cs="Arabic Transparent"/>
          <w:b/>
          <w:bCs/>
          <w:sz w:val="24"/>
          <w:szCs w:val="24"/>
          <w:rtl/>
        </w:rPr>
        <w:softHyphen/>
        <w:t>گيري از عقل عملي در بحث</w:t>
      </w:r>
      <w:r w:rsidRPr="00C917DC">
        <w:rPr>
          <w:rFonts w:ascii="Arabic Transparent" w:eastAsia="Times New Roman" w:hAnsi="Arabic Transparent" w:cs="Arabic Transparent"/>
          <w:b/>
          <w:bCs/>
          <w:sz w:val="24"/>
          <w:szCs w:val="24"/>
          <w:rtl/>
        </w:rPr>
        <w:softHyphen/>
        <w:t>هاي ميان اين دو فرهنگ مي‏شود، احتمالاً ناهمخوان بودن دستگاه ارزشي دو فرهنگ است (</w:t>
      </w:r>
      <w:r w:rsidRPr="00C917DC">
        <w:rPr>
          <w:rFonts w:ascii="Arabic Transparent" w:eastAsia="Times New Roman" w:hAnsi="Arabic Transparent" w:cs="Arabic Transparent"/>
          <w:b/>
          <w:bCs/>
          <w:sz w:val="24"/>
          <w:szCs w:val="24"/>
        </w:rPr>
        <w:t>Taylor, 1989: 62</w:t>
      </w:r>
      <w:r w:rsidRPr="00C917DC">
        <w:rPr>
          <w:rFonts w:ascii="Arabic Transparent" w:eastAsia="Times New Roman" w:hAnsi="Arabic Transparent" w:cs="Arabic Transparent"/>
          <w:b/>
          <w:bCs/>
          <w:sz w:val="24"/>
          <w:szCs w:val="24"/>
          <w:rtl/>
        </w:rPr>
        <w:t>). براي مثال در يک فرهنگ، تعقل به عنوان يک فضيلت ممکن است تحت الشعاع فضيلت</w:t>
      </w:r>
      <w:r w:rsidRPr="00C917DC">
        <w:rPr>
          <w:rFonts w:ascii="Arabic Transparent" w:eastAsia="Times New Roman" w:hAnsi="Arabic Transparent" w:cs="Arabic Transparent"/>
          <w:b/>
          <w:bCs/>
          <w:sz w:val="24"/>
          <w:szCs w:val="24"/>
          <w:rtl/>
        </w:rPr>
        <w:softHyphen/>
        <w:t>هاي ديگر قرار گيرد، در حالي كه در فرهنگي ديگر ممكن است تعقل فضيلت برتر شمرده شود. از ديدگاه تيلور، هر فرهنگ تنها يکي از راه‏هاي ممکن زيستن بشري است. اما شناخت</w:t>
      </w:r>
      <w:r w:rsidRPr="00C917DC">
        <w:rPr>
          <w:rFonts w:ascii="Arabic Transparent" w:eastAsia="Times New Roman" w:hAnsi="Arabic Transparent" w:cs="Arabic Transparent"/>
          <w:b/>
          <w:bCs/>
          <w:sz w:val="24"/>
          <w:szCs w:val="24"/>
          <w:rtl/>
        </w:rPr>
        <w:softHyphen/>
        <w:t>شناسي مدرن چندان با مفهوم ناهمخوان بودن فرهنگ‏ها موافق نيست، بلکه تفاوت فرهنگ‏ها را تا حد زيادي قابل ارزيابي دانسته و با گذشت زمان قابل رفع تلقي مي‏کند (</w:t>
      </w:r>
      <w:r w:rsidRPr="00C917DC">
        <w:rPr>
          <w:rFonts w:ascii="Arabic Transparent" w:eastAsia="Times New Roman" w:hAnsi="Arabic Transparent" w:cs="Arabic Transparent"/>
          <w:b/>
          <w:bCs/>
          <w:sz w:val="24"/>
          <w:szCs w:val="24"/>
        </w:rPr>
        <w:t>Taylor, 1997: xii</w:t>
      </w:r>
      <w:r w:rsidRPr="00C917DC">
        <w:rPr>
          <w:rFonts w:ascii="Arabic Transparent" w:eastAsia="Times New Roman" w:hAnsi="Arabic Transparent" w:cs="Arabic Transparent"/>
          <w:b/>
          <w:bCs/>
          <w:sz w:val="24"/>
          <w:szCs w:val="24"/>
          <w:rtl/>
        </w:rPr>
        <w:t>). در نظريه زبان</w:t>
      </w:r>
      <w:r w:rsidRPr="00C917DC">
        <w:rPr>
          <w:rFonts w:ascii="Arabic Transparent" w:eastAsia="Times New Roman" w:hAnsi="Arabic Transparent" w:cs="Arabic Transparent"/>
          <w:b/>
          <w:bCs/>
          <w:sz w:val="24"/>
          <w:szCs w:val="24"/>
          <w:rtl/>
        </w:rPr>
        <w:softHyphen/>
        <w:t>شناسي لاک، ترجمه از يک زبان به زبان ديگر آسان به حساب مي‏آيد، در حالي که در نظريه رمانتيک، که تيلور به آن تمايل دارد، تفاوت‏‏هاي عميقي ميان زبان‏ها وجود دارد.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با اين حال، تيلور تاكيد فراوان دارد كه به سمت نسبي</w:t>
      </w:r>
      <w:r w:rsidRPr="00C917DC">
        <w:rPr>
          <w:rFonts w:ascii="Arabic Transparent" w:eastAsia="Times New Roman" w:hAnsi="Arabic Transparent" w:cs="Arabic Transparent"/>
          <w:b/>
          <w:bCs/>
          <w:sz w:val="24"/>
          <w:szCs w:val="24"/>
          <w:rtl/>
        </w:rPr>
        <w:softHyphen/>
        <w:t>گرايي، که در آن همه ديدگاه‏ها به يکسان دلبخوا‏هانه(</w:t>
      </w:r>
      <w:r w:rsidRPr="00C917DC">
        <w:rPr>
          <w:rFonts w:ascii="Arabic Transparent" w:eastAsia="Times New Roman" w:hAnsi="Arabic Transparent" w:cs="Arabic Transparent"/>
          <w:b/>
          <w:bCs/>
          <w:sz w:val="24"/>
          <w:szCs w:val="24"/>
        </w:rPr>
        <w:t>arbitrary</w:t>
      </w:r>
      <w:r w:rsidRPr="00C917DC">
        <w:rPr>
          <w:rFonts w:ascii="Arabic Transparent" w:eastAsia="Times New Roman" w:hAnsi="Arabic Transparent" w:cs="Arabic Transparent"/>
          <w:b/>
          <w:bCs/>
          <w:sz w:val="24"/>
          <w:szCs w:val="24"/>
          <w:rtl/>
        </w:rPr>
        <w:t>) تلقي مي‏شود، نلغزد. به نظر وي انسان, گريزي از آن ندارد که يک جهت</w:t>
      </w:r>
      <w:r w:rsidRPr="00C917DC">
        <w:rPr>
          <w:rFonts w:ascii="Arabic Transparent" w:eastAsia="Times New Roman" w:hAnsi="Arabic Transparent" w:cs="Arabic Transparent"/>
          <w:b/>
          <w:bCs/>
          <w:sz w:val="24"/>
          <w:szCs w:val="24"/>
          <w:rtl/>
        </w:rPr>
        <w:softHyphen/>
        <w:t>گيري اخلاقي را درست تصور کند، و لذا نسبي</w:t>
      </w:r>
      <w:r w:rsidRPr="00C917DC">
        <w:rPr>
          <w:rFonts w:ascii="Arabic Transparent" w:eastAsia="Times New Roman" w:hAnsi="Arabic Transparent" w:cs="Arabic Transparent"/>
          <w:b/>
          <w:bCs/>
          <w:sz w:val="24"/>
          <w:szCs w:val="24"/>
          <w:rtl/>
        </w:rPr>
        <w:softHyphen/>
        <w:t>گرايي براي انسان‏ها قابل پذيرش نيست (</w:t>
      </w:r>
      <w:r w:rsidRPr="00C917DC">
        <w:rPr>
          <w:rFonts w:ascii="Arabic Transparent" w:eastAsia="Times New Roman" w:hAnsi="Arabic Transparent" w:cs="Arabic Transparent"/>
          <w:b/>
          <w:bCs/>
          <w:sz w:val="24"/>
          <w:szCs w:val="24"/>
        </w:rPr>
        <w:t>Taylor, 1989: 99</w:t>
      </w:r>
      <w:r w:rsidRPr="00C917DC">
        <w:rPr>
          <w:rFonts w:ascii="Arabic Transparent" w:eastAsia="Times New Roman" w:hAnsi="Arabic Transparent" w:cs="Arabic Transparent"/>
          <w:b/>
          <w:bCs/>
          <w:sz w:val="24"/>
          <w:szCs w:val="24"/>
          <w:rtl/>
        </w:rPr>
        <w:t>). تيلور از تفاوت‏‏هاي فرهنگي در حوزه اخلاق دو نتيجه مي‏گيرد: نخست آن که ناهمخوان بودن فرهنگ‏ها نبايد پيشاپيش مفروض تلقي شود و تا زماني که ناهمخواني نظام ارزشي دو يا چند فرهنگ اثبات نشود، دليلي نيست که ما نظريه فضيلت پذيرفته شده در فرهنگ خود را جهان</w:t>
      </w:r>
      <w:r w:rsidRPr="00C917DC">
        <w:rPr>
          <w:rFonts w:ascii="Arabic Transparent" w:eastAsia="Times New Roman" w:hAnsi="Arabic Transparent" w:cs="Arabic Transparent"/>
          <w:b/>
          <w:bCs/>
          <w:sz w:val="24"/>
          <w:szCs w:val="24"/>
          <w:rtl/>
        </w:rPr>
        <w:softHyphen/>
        <w:t>شمول ندانيم. دوم: ما بايد ارزش‏هاي فرهنگ‏هايي را که در صدد شناخت آن‏ها هستيم نيز جهان</w:t>
      </w:r>
      <w:r w:rsidRPr="00C917DC">
        <w:rPr>
          <w:rFonts w:ascii="Arabic Transparent" w:eastAsia="Times New Roman" w:hAnsi="Arabic Transparent" w:cs="Arabic Transparent"/>
          <w:b/>
          <w:bCs/>
          <w:sz w:val="24"/>
          <w:szCs w:val="24"/>
          <w:rtl/>
        </w:rPr>
        <w:softHyphen/>
        <w:t>شمول بدانيم (</w:t>
      </w:r>
      <w:r w:rsidRPr="00C917DC">
        <w:rPr>
          <w:rFonts w:ascii="Arabic Transparent" w:eastAsia="Times New Roman" w:hAnsi="Arabic Transparent" w:cs="Arabic Transparent"/>
          <w:b/>
          <w:bCs/>
          <w:sz w:val="24"/>
          <w:szCs w:val="24"/>
        </w:rPr>
        <w:t>Taylor, 1989: 62</w:t>
      </w:r>
      <w:r w:rsidRPr="00C917DC">
        <w:rPr>
          <w:rFonts w:ascii="Arabic Transparent" w:eastAsia="Times New Roman" w:hAnsi="Arabic Transparent" w:cs="Arabic Transparent"/>
          <w:b/>
          <w:bCs/>
          <w:sz w:val="24"/>
          <w:szCs w:val="24"/>
          <w:rtl/>
        </w:rPr>
        <w:t>)، چرا که، از ديد تيلور، ادعاهاي اخلاقي داراي ماهيت جهانشمول</w:t>
      </w:r>
      <w:r w:rsidRPr="00C917DC">
        <w:rPr>
          <w:rFonts w:ascii="Arabic Transparent" w:eastAsia="Times New Roman" w:hAnsi="Arabic Transparent" w:cs="Arabic Transparent"/>
          <w:b/>
          <w:bCs/>
          <w:sz w:val="24"/>
          <w:szCs w:val="24"/>
          <w:rtl/>
        </w:rPr>
        <w:softHyphen/>
        <w:t>اند (</w:t>
      </w:r>
      <w:r w:rsidRPr="00C917DC">
        <w:rPr>
          <w:rFonts w:ascii="Arabic Transparent" w:eastAsia="Times New Roman" w:hAnsi="Arabic Transparent" w:cs="Arabic Transparent"/>
          <w:b/>
          <w:bCs/>
          <w:sz w:val="24"/>
          <w:szCs w:val="24"/>
        </w:rPr>
        <w:t>Taylor, 1989: 67-68</w:t>
      </w:r>
      <w:r w:rsidRPr="00C917DC">
        <w:rPr>
          <w:rFonts w:ascii="Arabic Transparent" w:eastAsia="Times New Roman" w:hAnsi="Arabic Transparent" w:cs="Arabic Transparent"/>
          <w:b/>
          <w:bCs/>
          <w:sz w:val="24"/>
          <w:szCs w:val="24"/>
          <w:rtl/>
        </w:rPr>
        <w:t>).</w:t>
      </w:r>
    </w:p>
    <w:p w:rsidR="00C917DC" w:rsidRPr="00C917DC" w:rsidRDefault="00C917DC" w:rsidP="00C917D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917DC">
        <w:rPr>
          <w:rFonts w:ascii="Arabic Transparent" w:eastAsia="Times New Roman" w:hAnsi="Arabic Transparent" w:cs="Arabic Transparent"/>
          <w:b/>
          <w:bCs/>
          <w:sz w:val="27"/>
          <w:szCs w:val="27"/>
          <w:rtl/>
        </w:rPr>
        <w:lastRenderedPageBreak/>
        <w:t>ادغام چشم</w:t>
      </w:r>
      <w:r w:rsidRPr="00C917DC">
        <w:rPr>
          <w:rFonts w:ascii="Arabic Transparent" w:eastAsia="Times New Roman" w:hAnsi="Arabic Transparent" w:cs="Arabic Transparent"/>
          <w:b/>
          <w:bCs/>
          <w:sz w:val="27"/>
          <w:szCs w:val="27"/>
          <w:rtl/>
        </w:rPr>
        <w:softHyphen/>
        <w:t>اندازها (</w:t>
      </w:r>
      <w:r w:rsidRPr="00C917DC">
        <w:rPr>
          <w:rFonts w:ascii="Arabic Transparent" w:eastAsia="Times New Roman" w:hAnsi="Arabic Transparent" w:cs="Arabic Transparent"/>
          <w:b/>
          <w:bCs/>
          <w:sz w:val="27"/>
          <w:szCs w:val="27"/>
        </w:rPr>
        <w:t>fusion of horizons</w:t>
      </w:r>
      <w:r w:rsidRPr="00C917DC">
        <w:rPr>
          <w:rFonts w:ascii="Arabic Transparent" w:eastAsia="Times New Roman" w:hAnsi="Arabic Transparent" w:cs="Arabic Transparent"/>
          <w:b/>
          <w:bCs/>
          <w:sz w:val="27"/>
          <w:szCs w:val="27"/>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از ديدگاه تيلور، حتي ناهمخوان بودن فرهنگ‏ها به منزله غيرممکن بودن بهره</w:t>
      </w:r>
      <w:r w:rsidRPr="00C917DC">
        <w:rPr>
          <w:rFonts w:ascii="Arabic Transparent" w:eastAsia="Times New Roman" w:hAnsi="Arabic Transparent" w:cs="Arabic Transparent"/>
          <w:b/>
          <w:bCs/>
          <w:sz w:val="24"/>
          <w:szCs w:val="24"/>
          <w:rtl/>
        </w:rPr>
        <w:softHyphen/>
        <w:t>گيري از عقل عملي در بحث</w:t>
      </w:r>
      <w:r w:rsidRPr="00C917DC">
        <w:rPr>
          <w:rFonts w:ascii="Arabic Transparent" w:eastAsia="Times New Roman" w:hAnsi="Arabic Transparent" w:cs="Arabic Transparent"/>
          <w:b/>
          <w:bCs/>
          <w:sz w:val="24"/>
          <w:szCs w:val="24"/>
          <w:rtl/>
        </w:rPr>
        <w:softHyphen/>
        <w:t>هاي بين فرهنگ‏ها نيست. ما مي‏توانيم از طريق "ادغام چشم انداز‏ها"، معيار‏هاي ارزيابي و مقايسه خود را گسترده و متحول سازيم. وي مي‏گويد به اين ترتيب ما به چشم انداز وسيعتري مي‏رسيم که در آن آن</w:t>
      </w:r>
      <w:r w:rsidRPr="00C917DC">
        <w:rPr>
          <w:rFonts w:ascii="Arabic Transparent" w:eastAsia="Times New Roman" w:hAnsi="Arabic Transparent" w:cs="Arabic Transparent"/>
          <w:b/>
          <w:bCs/>
          <w:sz w:val="24"/>
          <w:szCs w:val="24"/>
          <w:rtl/>
        </w:rPr>
        <w:softHyphen/>
        <w:t>چه ما پيشتر به عنوان معيار سنجش پذيرفته بوديم تنها يک معيار در کنار معيار‏هاي فرهنگ‏هاي ناشناخته قبلي به حساب مي‏آيد (</w:t>
      </w:r>
      <w:r w:rsidRPr="00C917DC">
        <w:rPr>
          <w:rFonts w:ascii="Arabic Transparent" w:eastAsia="Times New Roman" w:hAnsi="Arabic Transparent" w:cs="Arabic Transparent"/>
          <w:b/>
          <w:bCs/>
          <w:sz w:val="24"/>
          <w:szCs w:val="24"/>
        </w:rPr>
        <w:t>Taylor, 1992: 67</w:t>
      </w:r>
      <w:r w:rsidRPr="00C917DC">
        <w:rPr>
          <w:rFonts w:ascii="Arabic Transparent" w:eastAsia="Times New Roman" w:hAnsi="Arabic Transparent" w:cs="Arabic Transparent"/>
          <w:b/>
          <w:bCs/>
          <w:sz w:val="24"/>
          <w:szCs w:val="24"/>
          <w:rtl/>
        </w:rPr>
        <w:t>). روند ادغام چشم انداز‏ها و توسعه ملاک‏هاي ارزيابي هيچ</w:t>
      </w:r>
      <w:r w:rsidRPr="00C917DC">
        <w:rPr>
          <w:rFonts w:ascii="Arabic Transparent" w:eastAsia="Times New Roman" w:hAnsi="Arabic Transparent" w:cs="Arabic Transparent"/>
          <w:b/>
          <w:bCs/>
          <w:sz w:val="24"/>
          <w:szCs w:val="24"/>
          <w:rtl/>
        </w:rPr>
        <w:softHyphen/>
        <w:t>گاه به تکامل نهايي نمي‏رسد و در هر مرحله محدود به فرهنگ‏هايي است که ما با آن‏ها در تعامل هستيم. حتي اگر يک ديدگاه مشترک ميان تمامي فرهنگ‏ها و برهه‏ها به دست آمد، اين ديدگاه فقط به طور "دو فاکتو" جهان</w:t>
      </w:r>
      <w:r w:rsidRPr="00C917DC">
        <w:rPr>
          <w:rFonts w:ascii="Arabic Transparent" w:eastAsia="Times New Roman" w:hAnsi="Arabic Transparent" w:cs="Arabic Transparent"/>
          <w:b/>
          <w:bCs/>
          <w:sz w:val="24"/>
          <w:szCs w:val="24"/>
          <w:rtl/>
        </w:rPr>
        <w:softHyphen/>
        <w:t>شمول به حساب مي‏آيد. ما تن‏ها قادر خواهيم بود که به فهم "تحريف نشده" و نه فهم "عيني"، از ديگران دست يابيم. "هدف، ادغام چشم انداز‏ها و نه گريز از چشم انداز است. محصول نهايي اين ادغام، همواره چشم اندازي است که به يک شخص خاص تعلق دارد" (</w:t>
      </w:r>
      <w:r w:rsidRPr="00C917DC">
        <w:rPr>
          <w:rFonts w:ascii="Arabic Transparent" w:eastAsia="Times New Roman" w:hAnsi="Arabic Transparent" w:cs="Arabic Transparent"/>
          <w:b/>
          <w:bCs/>
          <w:sz w:val="24"/>
          <w:szCs w:val="24"/>
        </w:rPr>
        <w:t>Taylor, 1997: 151</w:t>
      </w:r>
      <w:r w:rsidRPr="00C917DC">
        <w:rPr>
          <w:rFonts w:ascii="Arabic Transparent" w:eastAsia="Times New Roman" w:hAnsi="Arabic Transparent" w:cs="Arabic Transparent"/>
          <w:b/>
          <w:bCs/>
          <w:sz w:val="24"/>
          <w:szCs w:val="24"/>
          <w:rtl/>
        </w:rPr>
        <w:t xml:space="preserve">).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ادغام چشم انداز‏هايي، که هر کدام متعلق به يک شيوه اخلاقي زيستن هستند، گزينه‏هاي بيشتري فراروي ما قرار مي‏دهد. مي‏توان گفت که به اين ترتيب امکان آن</w:t>
      </w:r>
      <w:r w:rsidRPr="00C917DC">
        <w:rPr>
          <w:rFonts w:ascii="Arabic Transparent" w:eastAsia="Times New Roman" w:hAnsi="Arabic Transparent" w:cs="Arabic Transparent"/>
          <w:b/>
          <w:bCs/>
          <w:sz w:val="24"/>
          <w:szCs w:val="24"/>
          <w:rtl/>
        </w:rPr>
        <w:softHyphen/>
        <w:t xml:space="preserve">چه تيلور "وام گرفتن فرهنگي" ( </w:t>
      </w:r>
      <w:r w:rsidRPr="00C917DC">
        <w:rPr>
          <w:rFonts w:ascii="Arabic Transparent" w:eastAsia="Times New Roman" w:hAnsi="Arabic Transparent" w:cs="Arabic Transparent"/>
          <w:b/>
          <w:bCs/>
          <w:sz w:val="24"/>
          <w:szCs w:val="24"/>
        </w:rPr>
        <w:t>cultural borrowing) (Taylor, 1997: xii</w:t>
      </w:r>
      <w:r w:rsidRPr="00C917DC">
        <w:rPr>
          <w:rFonts w:ascii="Arabic Transparent" w:eastAsia="Times New Roman" w:hAnsi="Arabic Transparent" w:cs="Arabic Transparent"/>
          <w:b/>
          <w:bCs/>
          <w:sz w:val="24"/>
          <w:szCs w:val="24"/>
          <w:rtl/>
        </w:rPr>
        <w:t>) مي‏نامد پديد مي</w:t>
      </w:r>
      <w:r w:rsidRPr="00C917DC">
        <w:rPr>
          <w:rFonts w:ascii="Arabic Transparent" w:eastAsia="Times New Roman" w:hAnsi="Arabic Transparent" w:cs="Arabic Transparent"/>
          <w:b/>
          <w:bCs/>
          <w:sz w:val="24"/>
          <w:szCs w:val="24"/>
          <w:rtl/>
        </w:rPr>
        <w:softHyphen/>
        <w:t>آيد. با تلاش عقلاني براي گسترش فهم خويش، از طريق ادغام چشم انداز‏ها، ما اشتبا‏هات خود يا ديگران را در مي</w:t>
      </w:r>
      <w:r w:rsidRPr="00C917DC">
        <w:rPr>
          <w:rFonts w:ascii="Arabic Transparent" w:eastAsia="Times New Roman" w:hAnsi="Arabic Transparent" w:cs="Arabic Transparent"/>
          <w:b/>
          <w:bCs/>
          <w:sz w:val="24"/>
          <w:szCs w:val="24"/>
          <w:rtl/>
        </w:rPr>
        <w:softHyphen/>
        <w:t>يابيم، يا يک نگرش را بر ديگري ترجيح مي‏دهيم. چنين تلاشي نبايد به کشف حقيقت يا بهره</w:t>
      </w:r>
      <w:r w:rsidRPr="00C917DC">
        <w:rPr>
          <w:rFonts w:ascii="Arabic Transparent" w:eastAsia="Times New Roman" w:hAnsi="Arabic Transparent" w:cs="Arabic Transparent"/>
          <w:b/>
          <w:bCs/>
          <w:sz w:val="24"/>
          <w:szCs w:val="24"/>
          <w:rtl/>
        </w:rPr>
        <w:softHyphen/>
        <w:t>گيري شناختي محدود شود، بلکه در برگيرنده يک جنبه اخلاقي مستقل نيز هست، به اين معني که ما بايد تلاش کنيم تا زندگي ديگران را درک کنيم، سواي آن</w:t>
      </w:r>
      <w:r w:rsidRPr="00C917DC">
        <w:rPr>
          <w:rFonts w:ascii="Arabic Transparent" w:eastAsia="Times New Roman" w:hAnsi="Arabic Transparent" w:cs="Arabic Transparent"/>
          <w:b/>
          <w:bCs/>
          <w:sz w:val="24"/>
          <w:szCs w:val="24"/>
          <w:rtl/>
        </w:rPr>
        <w:softHyphen/>
        <w:t>که شيوه زندگي آنان در بر دارنده چه نكته</w:t>
      </w:r>
      <w:r w:rsidRPr="00C917DC">
        <w:rPr>
          <w:rFonts w:ascii="Arabic Transparent" w:eastAsia="Times New Roman" w:hAnsi="Arabic Transparent" w:cs="Arabic Transparent"/>
          <w:b/>
          <w:bCs/>
          <w:sz w:val="24"/>
          <w:szCs w:val="24"/>
          <w:rtl/>
        </w:rPr>
        <w:softHyphen/>
        <w:t>هايي در باب شناخت حقيقت است. تيلور خلاصه</w:t>
      </w:r>
      <w:r w:rsidRPr="00C917DC">
        <w:rPr>
          <w:rFonts w:ascii="Arabic Transparent" w:eastAsia="Times New Roman" w:hAnsi="Arabic Transparent" w:cs="Arabic Transparent"/>
          <w:b/>
          <w:bCs/>
          <w:sz w:val="24"/>
          <w:szCs w:val="24"/>
          <w:rtl/>
        </w:rPr>
        <w:softHyphen/>
        <w:t>وار مي‏گويد: "براي انسان‏ها بسيار مهم است که به دنياي خويش معنا ببخشند و در آن</w:t>
      </w:r>
      <w:r w:rsidRPr="00C917DC">
        <w:rPr>
          <w:rFonts w:ascii="Arabic Transparent" w:eastAsia="Times New Roman" w:hAnsi="Arabic Transparent" w:cs="Arabic Transparent"/>
          <w:b/>
          <w:bCs/>
          <w:sz w:val="24"/>
          <w:szCs w:val="24"/>
          <w:rtl/>
        </w:rPr>
        <w:softHyphen/>
        <w:t>چه در زندگي خود تجربه مي‏کنند معنايي بيابند" (</w:t>
      </w:r>
      <w:r w:rsidRPr="00C917DC">
        <w:rPr>
          <w:rFonts w:ascii="Arabic Transparent" w:eastAsia="Times New Roman" w:hAnsi="Arabic Transparent" w:cs="Arabic Transparent"/>
          <w:b/>
          <w:bCs/>
          <w:sz w:val="24"/>
          <w:szCs w:val="24"/>
        </w:rPr>
        <w:t>Taylor</w:t>
      </w:r>
      <w:r w:rsidRPr="00C917DC">
        <w:rPr>
          <w:rFonts w:ascii="Arabic Transparent" w:eastAsia="Times New Roman" w:hAnsi="Arabic Transparent" w:cs="Arabic Transparent"/>
          <w:b/>
          <w:bCs/>
          <w:sz w:val="24"/>
          <w:szCs w:val="24"/>
          <w:rtl/>
        </w:rPr>
        <w:t>, 1997: 154) مدارا ميان فرهنگ‏ها در زمينه‏هاي اخلاقي و سياسي يک نتيجه ديگر ادغام چشم انداز‏ها است. اين امر ما را از "داوري حساب شده" درباره ساير فرهنگ‏ها باز نمي‏دارد، بلکه ما را آگاه مي‏سازد که "دليل</w:t>
      </w:r>
      <w:r w:rsidRPr="00C917DC">
        <w:rPr>
          <w:rFonts w:ascii="Arabic Transparent" w:eastAsia="Times New Roman" w:hAnsi="Arabic Transparent" w:cs="Arabic Transparent"/>
          <w:b/>
          <w:bCs/>
          <w:sz w:val="24"/>
          <w:szCs w:val="24"/>
          <w:rtl/>
        </w:rPr>
        <w:softHyphen/>
        <w:t>هاي قابل قبولي براي عدم مداخله در زندگي ساير فرهنگ‏ها يا جامعه</w:t>
      </w:r>
      <w:r w:rsidRPr="00C917DC">
        <w:rPr>
          <w:rFonts w:ascii="Arabic Transparent" w:eastAsia="Times New Roman" w:hAnsi="Arabic Transparent" w:cs="Arabic Transparent"/>
          <w:b/>
          <w:bCs/>
          <w:sz w:val="24"/>
          <w:szCs w:val="24"/>
          <w:rtl/>
        </w:rPr>
        <w:softHyphen/>
        <w:t>ها وجود دارند، حتي اگر منظور از مداخله ايجاد وضعيتي است که بهتر است به طور خود به خودي پديد آيد" (</w:t>
      </w:r>
      <w:r w:rsidRPr="00C917DC">
        <w:rPr>
          <w:rFonts w:ascii="Arabic Transparent" w:eastAsia="Times New Roman" w:hAnsi="Arabic Transparent" w:cs="Arabic Transparent"/>
          <w:b/>
          <w:bCs/>
          <w:sz w:val="24"/>
          <w:szCs w:val="24"/>
        </w:rPr>
        <w:t>Taylor, 1997: 163</w:t>
      </w:r>
      <w:r w:rsidRPr="00C917DC">
        <w:rPr>
          <w:rFonts w:ascii="Arabic Transparent" w:eastAsia="Times New Roman" w:hAnsi="Arabic Transparent" w:cs="Arabic Transparent"/>
          <w:b/>
          <w:bCs/>
          <w:sz w:val="24"/>
          <w:szCs w:val="24"/>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ديدگاه شناخت</w:t>
      </w:r>
      <w:r w:rsidRPr="00C917DC">
        <w:rPr>
          <w:rFonts w:ascii="Arabic Transparent" w:eastAsia="Times New Roman" w:hAnsi="Arabic Transparent" w:cs="Arabic Transparent"/>
          <w:b/>
          <w:bCs/>
          <w:sz w:val="24"/>
          <w:szCs w:val="24"/>
          <w:rtl/>
        </w:rPr>
        <w:softHyphen/>
        <w:t>شناسانه تيلور را مي‏توان به اين شرح خلاصه کرد که او عقل عملي را تا حد قابل توجهي به ملاحظه</w:t>
      </w:r>
      <w:r w:rsidRPr="00C917DC">
        <w:rPr>
          <w:rFonts w:ascii="Arabic Transparent" w:eastAsia="Times New Roman" w:hAnsi="Arabic Transparent" w:cs="Arabic Transparent"/>
          <w:b/>
          <w:bCs/>
          <w:sz w:val="24"/>
          <w:szCs w:val="24"/>
          <w:rtl/>
        </w:rPr>
        <w:softHyphen/>
        <w:t>هاي فرهنگي محدود مي‏داند و ناهمخواني فرهنگ‏ها را ممکن مي‏شمرد. در بخش بعد ديده مي‏شود که چگونه تيلور اين ديدگاه شناخت</w:t>
      </w:r>
      <w:r w:rsidRPr="00C917DC">
        <w:rPr>
          <w:rFonts w:ascii="Arabic Transparent" w:eastAsia="Times New Roman" w:hAnsi="Arabic Transparent" w:cs="Arabic Transparent"/>
          <w:b/>
          <w:bCs/>
          <w:sz w:val="24"/>
          <w:szCs w:val="24"/>
          <w:rtl/>
        </w:rPr>
        <w:softHyphen/>
        <w:t>شناسانه را در بررسي نقش زبان و فرهنگ در فرآيند گفتگويي شکل</w:t>
      </w:r>
      <w:r w:rsidRPr="00C917DC">
        <w:rPr>
          <w:rFonts w:ascii="Arabic Transparent" w:eastAsia="Times New Roman" w:hAnsi="Arabic Transparent" w:cs="Arabic Transparent"/>
          <w:b/>
          <w:bCs/>
          <w:sz w:val="24"/>
          <w:szCs w:val="24"/>
          <w:rtl/>
        </w:rPr>
        <w:softHyphen/>
        <w:t>گيري هويت اشخاص و لزوم به رسميت شناخته شدن آن به کار مي‏برد.</w:t>
      </w:r>
    </w:p>
    <w:p w:rsidR="00C917DC" w:rsidRPr="00C917DC" w:rsidRDefault="00C917DC" w:rsidP="00C917D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917DC">
        <w:rPr>
          <w:rFonts w:ascii="Arabic Transparent" w:eastAsia="Times New Roman" w:hAnsi="Arabic Transparent" w:cs="Arabic Transparent"/>
          <w:b/>
          <w:bCs/>
          <w:sz w:val="27"/>
          <w:szCs w:val="27"/>
          <w:rtl/>
        </w:rPr>
        <w:t>2_ خويشتن (</w:t>
      </w:r>
      <w:r w:rsidRPr="00C917DC">
        <w:rPr>
          <w:rFonts w:ascii="Arabic Transparent" w:eastAsia="Times New Roman" w:hAnsi="Arabic Transparent" w:cs="Arabic Transparent"/>
          <w:b/>
          <w:bCs/>
          <w:sz w:val="27"/>
          <w:szCs w:val="27"/>
        </w:rPr>
        <w:t>the self</w:t>
      </w:r>
      <w:r w:rsidRPr="00C917DC">
        <w:rPr>
          <w:rFonts w:ascii="Arabic Transparent" w:eastAsia="Times New Roman" w:hAnsi="Arabic Transparent" w:cs="Arabic Transparent"/>
          <w:b/>
          <w:bCs/>
          <w:sz w:val="27"/>
          <w:szCs w:val="27"/>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تيلور هر نظريه شناخت</w:t>
      </w:r>
      <w:r w:rsidRPr="00C917DC">
        <w:rPr>
          <w:rFonts w:ascii="Arabic Transparent" w:eastAsia="Times New Roman" w:hAnsi="Arabic Transparent" w:cs="Arabic Transparent"/>
          <w:b/>
          <w:bCs/>
          <w:sz w:val="24"/>
          <w:szCs w:val="24"/>
          <w:rtl/>
        </w:rPr>
        <w:softHyphen/>
        <w:t>شناسي را متکي بر يک نظريه هستي</w:t>
      </w:r>
      <w:r w:rsidRPr="00C917DC">
        <w:rPr>
          <w:rFonts w:ascii="Arabic Transparent" w:eastAsia="Times New Roman" w:hAnsi="Arabic Transparent" w:cs="Arabic Transparent"/>
          <w:b/>
          <w:bCs/>
          <w:sz w:val="24"/>
          <w:szCs w:val="24"/>
          <w:rtl/>
        </w:rPr>
        <w:softHyphen/>
        <w:t>شناختي مي‏داند، که به عوامل بنيادين توضيح دهنده زندگي اجتماعي مي‏پردازد. لذا تلاش مي‏کند تا نظريه اتميستي در باب نفس انساني را نقد کند، چرا که از ديد او اين نظريه هستي</w:t>
      </w:r>
      <w:r w:rsidRPr="00C917DC">
        <w:rPr>
          <w:rFonts w:ascii="Arabic Transparent" w:eastAsia="Times New Roman" w:hAnsi="Arabic Transparent" w:cs="Arabic Transparent"/>
          <w:b/>
          <w:bCs/>
          <w:sz w:val="24"/>
          <w:szCs w:val="24"/>
          <w:rtl/>
        </w:rPr>
        <w:softHyphen/>
        <w:t>شناسانه با شناخت شناسي مدرن در ارتباط است. در مقابل، تيلور از نظريه گفتگويي در باب خويشتن آدمي جانب</w:t>
      </w:r>
      <w:r w:rsidRPr="00C917DC">
        <w:rPr>
          <w:rFonts w:ascii="Arabic Transparent" w:eastAsia="Times New Roman" w:hAnsi="Arabic Transparent" w:cs="Arabic Transparent"/>
          <w:b/>
          <w:bCs/>
          <w:sz w:val="24"/>
          <w:szCs w:val="24"/>
          <w:rtl/>
        </w:rPr>
        <w:softHyphen/>
        <w:t>داري مي‏کند; نظريه</w:t>
      </w:r>
      <w:r w:rsidRPr="00C917DC">
        <w:rPr>
          <w:rFonts w:ascii="Arabic Transparent" w:eastAsia="Times New Roman" w:hAnsi="Arabic Transparent" w:cs="Arabic Transparent"/>
          <w:b/>
          <w:bCs/>
          <w:sz w:val="24"/>
          <w:szCs w:val="24"/>
          <w:rtl/>
        </w:rPr>
        <w:softHyphen/>
        <w:t>اي که اهميت جامعه و زبان را در اين باب مورد تاکيد قرار مي‏دهد.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قبل از بحث درباره ويژگي گفتگويي هويت، لازم است ببينيم منظور تيلور از هويت چيست. هويت يک شخص عبارت است از فهم وي از اين</w:t>
      </w:r>
      <w:r w:rsidRPr="00C917DC">
        <w:rPr>
          <w:rFonts w:ascii="Arabic Transparent" w:eastAsia="Times New Roman" w:hAnsi="Arabic Transparent" w:cs="Arabic Transparent"/>
          <w:b/>
          <w:bCs/>
          <w:sz w:val="24"/>
          <w:szCs w:val="24"/>
          <w:rtl/>
        </w:rPr>
        <w:softHyphen/>
        <w:t>که او کيست و ويژگي‏هاي بنياديني که وي را يک انسان مي‏سازد کدام است (</w:t>
      </w:r>
      <w:r w:rsidRPr="00C917DC">
        <w:rPr>
          <w:rFonts w:ascii="Arabic Transparent" w:eastAsia="Times New Roman" w:hAnsi="Arabic Transparent" w:cs="Arabic Transparent"/>
          <w:b/>
          <w:bCs/>
          <w:sz w:val="24"/>
          <w:szCs w:val="24"/>
        </w:rPr>
        <w:t>Taylor, 1992: 25</w:t>
      </w:r>
      <w:r w:rsidRPr="00C917DC">
        <w:rPr>
          <w:rFonts w:ascii="Arabic Transparent" w:eastAsia="Times New Roman" w:hAnsi="Arabic Transparent" w:cs="Arabic Transparent"/>
          <w:b/>
          <w:bCs/>
          <w:sz w:val="24"/>
          <w:szCs w:val="24"/>
          <w:rtl/>
        </w:rPr>
        <w:t>). هويت يک فرد بيان</w:t>
      </w:r>
      <w:r w:rsidRPr="00C917DC">
        <w:rPr>
          <w:rFonts w:ascii="Arabic Transparent" w:eastAsia="Times New Roman" w:hAnsi="Arabic Transparent" w:cs="Arabic Transparent"/>
          <w:b/>
          <w:bCs/>
          <w:sz w:val="24"/>
          <w:szCs w:val="24"/>
          <w:rtl/>
        </w:rPr>
        <w:softHyphen/>
        <w:t>گر تعهدات اخلاقي</w:t>
      </w:r>
      <w:r w:rsidRPr="00C917DC">
        <w:rPr>
          <w:rFonts w:ascii="Arabic Transparent" w:eastAsia="Times New Roman" w:hAnsi="Arabic Transparent" w:cs="Arabic Transparent"/>
          <w:b/>
          <w:bCs/>
          <w:sz w:val="24"/>
          <w:szCs w:val="24"/>
          <w:rtl/>
        </w:rPr>
        <w:softHyphen/>
        <w:t>اي است که به زندگي وي جهت مي‏دهد و به اشياي پيرامونش معنا مي‏بخشد. با استفاده از قياس جهت</w:t>
      </w:r>
      <w:r w:rsidRPr="00C917DC">
        <w:rPr>
          <w:rFonts w:ascii="Arabic Transparent" w:eastAsia="Times New Roman" w:hAnsi="Arabic Transparent" w:cs="Arabic Transparent"/>
          <w:b/>
          <w:bCs/>
          <w:sz w:val="24"/>
          <w:szCs w:val="24"/>
          <w:rtl/>
        </w:rPr>
        <w:softHyphen/>
        <w:t>گيري در فضا، تيلور مي‏گويد: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دانستن اين</w:t>
      </w:r>
      <w:r w:rsidRPr="00C917DC">
        <w:rPr>
          <w:rFonts w:ascii="Arabic Transparent" w:eastAsia="Times New Roman" w:hAnsi="Arabic Transparent" w:cs="Arabic Transparent"/>
          <w:b/>
          <w:bCs/>
          <w:sz w:val="24"/>
          <w:szCs w:val="24"/>
          <w:rtl/>
        </w:rPr>
        <w:softHyphen/>
        <w:t>که من که هستم به منزله آن است که در فضاي اخلاقي جهت خود را بيابم; فضايي که در آن سؤال</w:t>
      </w:r>
      <w:r w:rsidRPr="00C917DC">
        <w:rPr>
          <w:rFonts w:ascii="Arabic Transparent" w:eastAsia="Times New Roman" w:hAnsi="Arabic Transparent" w:cs="Arabic Transparent"/>
          <w:b/>
          <w:bCs/>
          <w:sz w:val="24"/>
          <w:szCs w:val="24"/>
          <w:rtl/>
        </w:rPr>
        <w:softHyphen/>
        <w:t>هايي از اين دست مطرح مي‏شود: کدام چيز‏ها خوب و کدام بد هستند؟ کدام كارها ارزشمند و کدام بي</w:t>
      </w:r>
      <w:r w:rsidRPr="00C917DC">
        <w:rPr>
          <w:rFonts w:ascii="Arabic Transparent" w:eastAsia="Times New Roman" w:hAnsi="Arabic Transparent" w:cs="Arabic Transparent"/>
          <w:b/>
          <w:bCs/>
          <w:sz w:val="24"/>
          <w:szCs w:val="24"/>
          <w:rtl/>
        </w:rPr>
        <w:softHyphen/>
        <w:t>ارزش است، کدام چيز‏ها براي ما معني</w:t>
      </w:r>
      <w:r w:rsidRPr="00C917DC">
        <w:rPr>
          <w:rFonts w:ascii="Arabic Transparent" w:eastAsia="Times New Roman" w:hAnsi="Arabic Transparent" w:cs="Arabic Transparent"/>
          <w:b/>
          <w:bCs/>
          <w:sz w:val="24"/>
          <w:szCs w:val="24"/>
          <w:rtl/>
        </w:rPr>
        <w:softHyphen/>
        <w:t>دار و مهمند و کدام کم</w:t>
      </w:r>
      <w:r w:rsidRPr="00C917DC">
        <w:rPr>
          <w:rFonts w:ascii="Arabic Transparent" w:eastAsia="Times New Roman" w:hAnsi="Arabic Transparent" w:cs="Arabic Transparent"/>
          <w:b/>
          <w:bCs/>
          <w:sz w:val="24"/>
          <w:szCs w:val="24"/>
          <w:rtl/>
        </w:rPr>
        <w:softHyphen/>
        <w:t>ارزش و درجه دوم هستند (</w:t>
      </w:r>
      <w:r w:rsidRPr="00C917DC">
        <w:rPr>
          <w:rFonts w:ascii="Arabic Transparent" w:eastAsia="Times New Roman" w:hAnsi="Arabic Transparent" w:cs="Arabic Transparent"/>
          <w:b/>
          <w:bCs/>
          <w:sz w:val="24"/>
          <w:szCs w:val="24"/>
        </w:rPr>
        <w:t>Taylor, 1989: 28</w:t>
      </w:r>
      <w:r w:rsidRPr="00C917DC">
        <w:rPr>
          <w:rFonts w:ascii="Arabic Transparent" w:eastAsia="Times New Roman" w:hAnsi="Arabic Transparent" w:cs="Arabic Transparent"/>
          <w:b/>
          <w:bCs/>
          <w:sz w:val="24"/>
          <w:szCs w:val="24"/>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lastRenderedPageBreak/>
        <w:t>تيلور سه گونه موضوع اخلاقي را از هم متمايز مي</w:t>
      </w:r>
      <w:r w:rsidRPr="00C917DC">
        <w:rPr>
          <w:rFonts w:ascii="Arabic Transparent" w:eastAsia="Times New Roman" w:hAnsi="Arabic Transparent" w:cs="Arabic Transparent"/>
          <w:b/>
          <w:bCs/>
          <w:sz w:val="24"/>
          <w:szCs w:val="24"/>
          <w:rtl/>
        </w:rPr>
        <w:softHyphen/>
        <w:t>كند: نخست، تعهدات ما نسبت به ديگران، دوم، آن</w:t>
      </w:r>
      <w:r w:rsidRPr="00C917DC">
        <w:rPr>
          <w:rFonts w:ascii="Arabic Transparent" w:eastAsia="Times New Roman" w:hAnsi="Arabic Transparent" w:cs="Arabic Transparent"/>
          <w:b/>
          <w:bCs/>
          <w:sz w:val="24"/>
          <w:szCs w:val="24"/>
          <w:rtl/>
        </w:rPr>
        <w:softHyphen/>
        <w:t>چه يک زندگي کامل را مي‏سازد و سوم، مفاهيم مربوط به کرامت شخصي يعني آن</w:t>
      </w:r>
      <w:r w:rsidRPr="00C917DC">
        <w:rPr>
          <w:rFonts w:ascii="Arabic Transparent" w:eastAsia="Times New Roman" w:hAnsi="Arabic Transparent" w:cs="Arabic Transparent"/>
          <w:b/>
          <w:bCs/>
          <w:sz w:val="24"/>
          <w:szCs w:val="24"/>
          <w:rtl/>
        </w:rPr>
        <w:softHyphen/>
        <w:t>چه بر مبناي آن يک فرد خود را شايسته احترام ديگران مي‏شمرد. تيلور مدعي است که در تمامي اين موضوع</w:t>
      </w:r>
      <w:r w:rsidRPr="00C917DC">
        <w:rPr>
          <w:rFonts w:ascii="Arabic Transparent" w:eastAsia="Times New Roman" w:hAnsi="Arabic Transparent" w:cs="Arabic Transparent"/>
          <w:b/>
          <w:bCs/>
          <w:sz w:val="24"/>
          <w:szCs w:val="24"/>
          <w:rtl/>
        </w:rPr>
        <w:softHyphen/>
        <w:t>ها، مفاهيم فضيلت (</w:t>
      </w:r>
      <w:r w:rsidRPr="00C917DC">
        <w:rPr>
          <w:rFonts w:ascii="Arabic Transparent" w:eastAsia="Times New Roman" w:hAnsi="Arabic Transparent" w:cs="Arabic Transparent"/>
          <w:b/>
          <w:bCs/>
          <w:sz w:val="24"/>
          <w:szCs w:val="24"/>
        </w:rPr>
        <w:t>the good</w:t>
      </w:r>
      <w:r w:rsidRPr="00C917DC">
        <w:rPr>
          <w:rFonts w:ascii="Arabic Transparent" w:eastAsia="Times New Roman" w:hAnsi="Arabic Transparent" w:cs="Arabic Transparent"/>
          <w:b/>
          <w:bCs/>
          <w:sz w:val="24"/>
          <w:szCs w:val="24"/>
          <w:rtl/>
        </w:rPr>
        <w:t>) نقشي کليدي بازي مي‏کنند. بنابراين، سخن گفتن از هويت يک فرد به معناي سخن گفتن از ديدگاه وي در باب فضيلت است, به ويژه اين "فضيلت</w:t>
      </w:r>
      <w:r w:rsidRPr="00C917DC">
        <w:rPr>
          <w:rFonts w:ascii="Arabic Transparent" w:eastAsia="Times New Roman" w:hAnsi="Arabic Transparent" w:cs="Arabic Transparent"/>
          <w:b/>
          <w:bCs/>
          <w:sz w:val="24"/>
          <w:szCs w:val="24"/>
          <w:rtl/>
        </w:rPr>
        <w:softHyphen/>
        <w:t>هاي برتر"[8] هستند که هويت را تعريف مي‏کنند. فضيلت</w:t>
      </w:r>
      <w:r w:rsidRPr="00C917DC">
        <w:rPr>
          <w:rFonts w:ascii="Arabic Transparent" w:eastAsia="Times New Roman" w:hAnsi="Arabic Transparent" w:cs="Arabic Transparent"/>
          <w:b/>
          <w:bCs/>
          <w:sz w:val="24"/>
          <w:szCs w:val="24"/>
          <w:rtl/>
        </w:rPr>
        <w:softHyphen/>
        <w:t>هاي برتر آن‏هايي است که به گونه</w:t>
      </w:r>
      <w:r w:rsidRPr="00C917DC">
        <w:rPr>
          <w:rFonts w:ascii="Arabic Transparent" w:eastAsia="Times New Roman" w:hAnsi="Arabic Transparent" w:cs="Arabic Transparent"/>
          <w:b/>
          <w:bCs/>
          <w:sz w:val="24"/>
          <w:szCs w:val="24"/>
          <w:rtl/>
        </w:rPr>
        <w:softHyphen/>
        <w:t>اي غير قابل مقايسه از ساير فضيلت</w:t>
      </w:r>
      <w:r w:rsidRPr="00C917DC">
        <w:rPr>
          <w:rFonts w:ascii="Arabic Transparent" w:eastAsia="Times New Roman" w:hAnsi="Arabic Transparent" w:cs="Arabic Transparent"/>
          <w:b/>
          <w:bCs/>
          <w:sz w:val="24"/>
          <w:szCs w:val="24"/>
          <w:rtl/>
        </w:rPr>
        <w:softHyphen/>
        <w:t>ها برترند و با آن‏ها ساير فضيلت</w:t>
      </w:r>
      <w:r w:rsidRPr="00C917DC">
        <w:rPr>
          <w:rFonts w:ascii="Arabic Transparent" w:eastAsia="Times New Roman" w:hAnsi="Arabic Transparent" w:cs="Arabic Transparent"/>
          <w:b/>
          <w:bCs/>
          <w:sz w:val="24"/>
          <w:szCs w:val="24"/>
          <w:rtl/>
        </w:rPr>
        <w:softHyphen/>
        <w:t>هاي مورد داوري قرار مي‏گيرد.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اگر چه تيلور دو گونه از فضيلت</w:t>
      </w:r>
      <w:r w:rsidRPr="00C917DC">
        <w:rPr>
          <w:rFonts w:ascii="Arabic Transparent" w:eastAsia="Times New Roman" w:hAnsi="Arabic Transparent" w:cs="Arabic Transparent"/>
          <w:b/>
          <w:bCs/>
          <w:sz w:val="24"/>
          <w:szCs w:val="24"/>
          <w:rtl/>
        </w:rPr>
        <w:softHyphen/>
        <w:t>ها، يعني فضيلت</w:t>
      </w:r>
      <w:r w:rsidRPr="00C917DC">
        <w:rPr>
          <w:rFonts w:ascii="Arabic Transparent" w:eastAsia="Times New Roman" w:hAnsi="Arabic Transparent" w:cs="Arabic Transparent"/>
          <w:b/>
          <w:bCs/>
          <w:sz w:val="24"/>
          <w:szCs w:val="24"/>
          <w:rtl/>
        </w:rPr>
        <w:softHyphen/>
        <w:t>ها برتر و فضيلت</w:t>
      </w:r>
      <w:r w:rsidRPr="00C917DC">
        <w:rPr>
          <w:rFonts w:ascii="Arabic Transparent" w:eastAsia="Times New Roman" w:hAnsi="Arabic Transparent" w:cs="Arabic Transparent"/>
          <w:b/>
          <w:bCs/>
          <w:sz w:val="24"/>
          <w:szCs w:val="24"/>
          <w:rtl/>
        </w:rPr>
        <w:softHyphen/>
        <w:t>هاي معمولي، را از هم جدا مي‏کند. تعريف وي از هويت پيچيدگي اين مفهوم را منعکس نمي‏کند. براي مثال، هويت يک شخص از عناصر جهان</w:t>
      </w:r>
      <w:r w:rsidRPr="00C917DC">
        <w:rPr>
          <w:rFonts w:ascii="Arabic Transparent" w:eastAsia="Times New Roman" w:hAnsi="Arabic Transparent" w:cs="Arabic Transparent"/>
          <w:b/>
          <w:bCs/>
          <w:sz w:val="24"/>
          <w:szCs w:val="24"/>
          <w:rtl/>
        </w:rPr>
        <w:softHyphen/>
        <w:t>شمول و غيرجهان</w:t>
      </w:r>
      <w:r w:rsidRPr="00C917DC">
        <w:rPr>
          <w:rFonts w:ascii="Arabic Transparent" w:eastAsia="Times New Roman" w:hAnsi="Arabic Transparent" w:cs="Arabic Transparent"/>
          <w:b/>
          <w:bCs/>
          <w:sz w:val="24"/>
          <w:szCs w:val="24"/>
          <w:rtl/>
        </w:rPr>
        <w:softHyphen/>
        <w:t>شمول يا خاص (در سطوح مختلف جامعه و فرد) تشکيل مي‏شود، که هيچ</w:t>
      </w:r>
      <w:r w:rsidRPr="00C917DC">
        <w:rPr>
          <w:rFonts w:ascii="Arabic Transparent" w:eastAsia="Times New Roman" w:hAnsi="Arabic Transparent" w:cs="Arabic Transparent"/>
          <w:b/>
          <w:bCs/>
          <w:sz w:val="24"/>
          <w:szCs w:val="24"/>
          <w:rtl/>
        </w:rPr>
        <w:softHyphen/>
        <w:t>کدام از آن‏ها الزاماً از نظر زيبايي</w:t>
      </w:r>
      <w:r w:rsidRPr="00C917DC">
        <w:rPr>
          <w:rFonts w:ascii="Arabic Transparent" w:eastAsia="Times New Roman" w:hAnsi="Arabic Transparent" w:cs="Arabic Transparent"/>
          <w:b/>
          <w:bCs/>
          <w:sz w:val="24"/>
          <w:szCs w:val="24"/>
          <w:rtl/>
        </w:rPr>
        <w:softHyphen/>
        <w:t>شناسي، اخلاقي يا سياسي بر ديگري برتر نيستند. اين پيچيدگي هويت بايد مورد لحاظ قرار گيرد، زيرا هر يک از عناصر هويت, الزام</w:t>
      </w:r>
      <w:r w:rsidRPr="00C917DC">
        <w:rPr>
          <w:rFonts w:ascii="Arabic Transparent" w:eastAsia="Times New Roman" w:hAnsi="Arabic Transparent" w:cs="Arabic Transparent"/>
          <w:b/>
          <w:bCs/>
          <w:sz w:val="24"/>
          <w:szCs w:val="24"/>
          <w:rtl/>
        </w:rPr>
        <w:softHyphen/>
        <w:t>هاي ويژه</w:t>
      </w:r>
      <w:r w:rsidRPr="00C917DC">
        <w:rPr>
          <w:rFonts w:ascii="Arabic Transparent" w:eastAsia="Times New Roman" w:hAnsi="Arabic Transparent" w:cs="Arabic Transparent"/>
          <w:b/>
          <w:bCs/>
          <w:sz w:val="24"/>
          <w:szCs w:val="24"/>
          <w:rtl/>
        </w:rPr>
        <w:softHyphen/>
        <w:t>اي دارد. همان</w:t>
      </w:r>
      <w:r w:rsidRPr="00C917DC">
        <w:rPr>
          <w:rFonts w:ascii="Arabic Transparent" w:eastAsia="Times New Roman" w:hAnsi="Arabic Transparent" w:cs="Arabic Transparent"/>
          <w:b/>
          <w:bCs/>
          <w:sz w:val="24"/>
          <w:szCs w:val="24"/>
          <w:rtl/>
        </w:rPr>
        <w:softHyphen/>
        <w:t>گونه که در ادامه ملاحظه خواهد شد، ناديده انگاري اين پيچيدگي توسط تيلور سبب آن مي‏شود که بدون توجه به اهميت و الزام</w:t>
      </w:r>
      <w:r w:rsidRPr="00C917DC">
        <w:rPr>
          <w:rFonts w:ascii="Arabic Transparent" w:eastAsia="Times New Roman" w:hAnsi="Arabic Transparent" w:cs="Arabic Transparent"/>
          <w:b/>
          <w:bCs/>
          <w:sz w:val="24"/>
          <w:szCs w:val="24"/>
          <w:rtl/>
        </w:rPr>
        <w:softHyphen/>
        <w:t>هاي ويژه هر بعد از هويت، رفتار يکساني در مورد تمامي اين ابعاد را تجويز کند و به</w:t>
      </w:r>
      <w:r w:rsidRPr="00C917DC">
        <w:rPr>
          <w:rFonts w:ascii="Arabic Transparent" w:eastAsia="Times New Roman" w:hAnsi="Arabic Transparent" w:cs="Arabic Transparent"/>
          <w:b/>
          <w:bCs/>
          <w:sz w:val="24"/>
          <w:szCs w:val="24"/>
          <w:rtl/>
        </w:rPr>
        <w:softHyphen/>
        <w:t xml:space="preserve"> ويژه تمامي آن‏ها را سياسي سازد. به علاوه، ديدگاه وي در باب هويت، يک عنصر بنيادين, يعني "حس تعلق داشتن", را شامل نمي‏شود. تعلق به گروه‏هاي مختلف، هم</w:t>
      </w:r>
      <w:r w:rsidRPr="00C917DC">
        <w:rPr>
          <w:rFonts w:ascii="Arabic Transparent" w:eastAsia="Times New Roman" w:hAnsi="Arabic Transparent" w:cs="Arabic Transparent"/>
          <w:b/>
          <w:bCs/>
          <w:sz w:val="24"/>
          <w:szCs w:val="24"/>
          <w:rtl/>
        </w:rPr>
        <w:softHyphen/>
        <w:t>چون جامعه فرهنگي، يکي از عناصر اصلي هويت است و وظايف و مطالبات اخلاقي خاص خود را به همراه دارد. هويت، آن گونه که توسط تيلور بيان مي‏شود، اساساً مجموعه</w:t>
      </w:r>
      <w:r w:rsidRPr="00C917DC">
        <w:rPr>
          <w:rFonts w:ascii="Arabic Transparent" w:eastAsia="Times New Roman" w:hAnsi="Arabic Transparent" w:cs="Arabic Transparent"/>
          <w:b/>
          <w:bCs/>
          <w:sz w:val="24"/>
          <w:szCs w:val="24"/>
          <w:rtl/>
        </w:rPr>
        <w:softHyphen/>
        <w:t>اي از ارزش‏ها و اصول است.</w:t>
      </w:r>
    </w:p>
    <w:p w:rsidR="00C917DC" w:rsidRPr="00C917DC" w:rsidRDefault="00C917DC" w:rsidP="00C917D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917DC">
        <w:rPr>
          <w:rFonts w:ascii="Arabic Transparent" w:eastAsia="Times New Roman" w:hAnsi="Arabic Transparent" w:cs="Arabic Transparent"/>
          <w:b/>
          <w:bCs/>
          <w:sz w:val="27"/>
          <w:szCs w:val="27"/>
          <w:rtl/>
        </w:rPr>
        <w:t>ويژگي گفت و گويي هويت انسان</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شناخت</w:t>
      </w:r>
      <w:r w:rsidRPr="00C917DC">
        <w:rPr>
          <w:rFonts w:ascii="Arabic Transparent" w:eastAsia="Times New Roman" w:hAnsi="Arabic Transparent" w:cs="Arabic Transparent"/>
          <w:b/>
          <w:bCs/>
          <w:sz w:val="24"/>
          <w:szCs w:val="24"/>
          <w:rtl/>
        </w:rPr>
        <w:softHyphen/>
        <w:t>شناسي مدرن متکي بر يک هستي</w:t>
      </w:r>
      <w:r w:rsidRPr="00C917DC">
        <w:rPr>
          <w:rFonts w:ascii="Arabic Transparent" w:eastAsia="Times New Roman" w:hAnsi="Arabic Transparent" w:cs="Arabic Transparent"/>
          <w:b/>
          <w:bCs/>
          <w:sz w:val="24"/>
          <w:szCs w:val="24"/>
          <w:rtl/>
        </w:rPr>
        <w:softHyphen/>
        <w:t>شناسي اتميستي از جهان است که بر اساس آن, جامعه</w:t>
      </w:r>
      <w:r w:rsidRPr="00C917DC">
        <w:rPr>
          <w:rFonts w:ascii="Arabic Transparent" w:eastAsia="Times New Roman" w:hAnsi="Arabic Transparent" w:cs="Arabic Transparent"/>
          <w:b/>
          <w:bCs/>
          <w:sz w:val="24"/>
          <w:szCs w:val="24"/>
          <w:rtl/>
        </w:rPr>
        <w:softHyphen/>
        <w:t>ها چيزي جز افرادي که با هم در تعاملند نيستند. اتميست‏ها معتقد به هويتي نامقيد(</w:t>
      </w:r>
      <w:r w:rsidRPr="00C917DC">
        <w:rPr>
          <w:rFonts w:ascii="Arabic Transparent" w:eastAsia="Times New Roman" w:hAnsi="Arabic Transparent" w:cs="Arabic Transparent"/>
          <w:b/>
          <w:bCs/>
          <w:sz w:val="24"/>
          <w:szCs w:val="24"/>
        </w:rPr>
        <w:t>disengaged</w:t>
      </w:r>
      <w:r w:rsidRPr="00C917DC">
        <w:rPr>
          <w:rFonts w:ascii="Arabic Transparent" w:eastAsia="Times New Roman" w:hAnsi="Arabic Transparent" w:cs="Arabic Transparent"/>
          <w:b/>
          <w:bCs/>
          <w:sz w:val="24"/>
          <w:szCs w:val="24"/>
          <w:rtl/>
        </w:rPr>
        <w:t>) براي افراد هستند، افرادي که آنان را از لحاظ متافيزيکي مستقل از جامعه مي‏شمرند (</w:t>
      </w:r>
      <w:r w:rsidRPr="00C917DC">
        <w:rPr>
          <w:rFonts w:ascii="Arabic Transparent" w:eastAsia="Times New Roman" w:hAnsi="Arabic Transparent" w:cs="Arabic Transparent"/>
          <w:b/>
          <w:bCs/>
          <w:sz w:val="24"/>
          <w:szCs w:val="24"/>
        </w:rPr>
        <w:t>Taylor, 1995: 8</w:t>
      </w:r>
      <w:r w:rsidRPr="00C917DC">
        <w:rPr>
          <w:rFonts w:ascii="Arabic Transparent" w:eastAsia="Times New Roman" w:hAnsi="Arabic Transparent" w:cs="Arabic Transparent"/>
          <w:b/>
          <w:bCs/>
          <w:sz w:val="24"/>
          <w:szCs w:val="24"/>
          <w:rtl/>
        </w:rPr>
        <w:t>). از نظر اتميست‏ها، جز در ذهن افراد، کانوني براي انديشه و احساسات نيست (</w:t>
      </w:r>
      <w:r w:rsidRPr="00C917DC">
        <w:rPr>
          <w:rFonts w:ascii="Arabic Transparent" w:eastAsia="Times New Roman" w:hAnsi="Arabic Transparent" w:cs="Arabic Transparent"/>
          <w:b/>
          <w:bCs/>
          <w:sz w:val="24"/>
          <w:szCs w:val="24"/>
        </w:rPr>
        <w:t>Taylor, 1997: 130</w:t>
      </w:r>
      <w:r w:rsidRPr="00C917DC">
        <w:rPr>
          <w:rFonts w:ascii="Arabic Transparent" w:eastAsia="Times New Roman" w:hAnsi="Arabic Transparent" w:cs="Arabic Transparent"/>
          <w:b/>
          <w:bCs/>
          <w:sz w:val="24"/>
          <w:szCs w:val="24"/>
          <w:rtl/>
        </w:rPr>
        <w:t>). تيلور اتميسم را مردود شمرده و جامعه را شکل دهنده (</w:t>
      </w:r>
      <w:r w:rsidRPr="00C917DC">
        <w:rPr>
          <w:rFonts w:ascii="Arabic Transparent" w:eastAsia="Times New Roman" w:hAnsi="Arabic Transparent" w:cs="Arabic Transparent"/>
          <w:b/>
          <w:bCs/>
          <w:sz w:val="24"/>
          <w:szCs w:val="24"/>
        </w:rPr>
        <w:t>constitutive</w:t>
      </w:r>
      <w:r w:rsidRPr="00C917DC">
        <w:rPr>
          <w:rFonts w:ascii="Arabic Transparent" w:eastAsia="Times New Roman" w:hAnsi="Arabic Transparent" w:cs="Arabic Transparent"/>
          <w:b/>
          <w:bCs/>
          <w:sz w:val="24"/>
          <w:szCs w:val="24"/>
          <w:rtl/>
        </w:rPr>
        <w:t>) هويت فردي مي‏داند. به اعتقاد وي، بر خلاف آن</w:t>
      </w:r>
      <w:r w:rsidRPr="00C917DC">
        <w:rPr>
          <w:rFonts w:ascii="Arabic Transparent" w:eastAsia="Times New Roman" w:hAnsi="Arabic Transparent" w:cs="Arabic Transparent"/>
          <w:b/>
          <w:bCs/>
          <w:sz w:val="24"/>
          <w:szCs w:val="24"/>
          <w:rtl/>
        </w:rPr>
        <w:softHyphen/>
        <w:t>چه شناخت</w:t>
      </w:r>
      <w:r w:rsidRPr="00C917DC">
        <w:rPr>
          <w:rFonts w:ascii="Arabic Transparent" w:eastAsia="Times New Roman" w:hAnsi="Arabic Transparent" w:cs="Arabic Transparent"/>
          <w:b/>
          <w:bCs/>
          <w:sz w:val="24"/>
          <w:szCs w:val="24"/>
          <w:rtl/>
        </w:rPr>
        <w:softHyphen/>
        <w:t>شناسي مدرن عنوان مي‏کند, انسان به گونه</w:t>
      </w:r>
      <w:r w:rsidRPr="00C917DC">
        <w:rPr>
          <w:rFonts w:ascii="Arabic Transparent" w:eastAsia="Times New Roman" w:hAnsi="Arabic Transparent" w:cs="Arabic Transparent"/>
          <w:b/>
          <w:bCs/>
          <w:sz w:val="24"/>
          <w:szCs w:val="24"/>
          <w:rtl/>
        </w:rPr>
        <w:softHyphen/>
        <w:t xml:space="preserve">اي يک </w:t>
      </w:r>
      <w:r w:rsidRPr="00C917DC">
        <w:rPr>
          <w:rFonts w:ascii="Arabic Transparent" w:eastAsia="Times New Roman" w:hAnsi="Arabic Transparent" w:cs="Arabic Transparent"/>
          <w:b/>
          <w:bCs/>
          <w:sz w:val="24"/>
          <w:szCs w:val="24"/>
          <w:rtl/>
        </w:rPr>
        <w:softHyphen/>
        <w:t>سويه (</w:t>
      </w:r>
      <w:proofErr w:type="spellStart"/>
      <w:r w:rsidRPr="00C917DC">
        <w:rPr>
          <w:rFonts w:ascii="Arabic Transparent" w:eastAsia="Times New Roman" w:hAnsi="Arabic Transparent" w:cs="Arabic Transparent"/>
          <w:b/>
          <w:bCs/>
          <w:sz w:val="24"/>
          <w:szCs w:val="24"/>
        </w:rPr>
        <w:t>monological</w:t>
      </w:r>
      <w:proofErr w:type="spellEnd"/>
      <w:r w:rsidRPr="00C917DC">
        <w:rPr>
          <w:rFonts w:ascii="Arabic Transparent" w:eastAsia="Times New Roman" w:hAnsi="Arabic Transparent" w:cs="Arabic Transparent"/>
          <w:b/>
          <w:bCs/>
          <w:sz w:val="24"/>
          <w:szCs w:val="24"/>
          <w:rtl/>
        </w:rPr>
        <w:t>) به بازنمايش حقايق نمي‏پردازد، بلکه فهم آدمي در مناسباتي دو سويه شکل مي‏گيرد، به اين معني که ادراك تحت تأثير يک ذهن(</w:t>
      </w:r>
      <w:r w:rsidRPr="00C917DC">
        <w:rPr>
          <w:rFonts w:ascii="Arabic Transparent" w:eastAsia="Times New Roman" w:hAnsi="Arabic Transparent" w:cs="Arabic Transparent"/>
          <w:b/>
          <w:bCs/>
          <w:sz w:val="24"/>
          <w:szCs w:val="24"/>
        </w:rPr>
        <w:t>agent</w:t>
      </w:r>
      <w:r w:rsidRPr="00C917DC">
        <w:rPr>
          <w:rFonts w:ascii="Arabic Transparent" w:eastAsia="Times New Roman" w:hAnsi="Arabic Transparent" w:cs="Arabic Transparent"/>
          <w:b/>
          <w:bCs/>
          <w:sz w:val="24"/>
          <w:szCs w:val="24"/>
          <w:rtl/>
        </w:rPr>
        <w:t>) مشترک، يعني "ما"، صورت مي‏گيرد (</w:t>
      </w:r>
      <w:r w:rsidRPr="00C917DC">
        <w:rPr>
          <w:rFonts w:ascii="Arabic Transparent" w:eastAsia="Times New Roman" w:hAnsi="Arabic Transparent" w:cs="Arabic Transparent"/>
          <w:b/>
          <w:bCs/>
          <w:sz w:val="24"/>
          <w:szCs w:val="24"/>
        </w:rPr>
        <w:t>Taylor</w:t>
      </w:r>
      <w:r w:rsidRPr="00C917DC">
        <w:rPr>
          <w:rFonts w:ascii="Arabic Transparent" w:eastAsia="Times New Roman" w:hAnsi="Arabic Transparent" w:cs="Arabic Transparent"/>
          <w:b/>
          <w:bCs/>
          <w:sz w:val="24"/>
          <w:szCs w:val="24"/>
          <w:rtl/>
        </w:rPr>
        <w:t>, 1997: 172). اين توضيح ما را به "ويژگي گفت و گويي"(</w:t>
      </w:r>
      <w:r w:rsidRPr="00C917DC">
        <w:rPr>
          <w:rFonts w:ascii="Arabic Transparent" w:eastAsia="Times New Roman" w:hAnsi="Arabic Transparent" w:cs="Arabic Transparent"/>
          <w:b/>
          <w:bCs/>
          <w:sz w:val="24"/>
          <w:szCs w:val="24"/>
        </w:rPr>
        <w:t>fundamentally dialogical</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character</w:t>
      </w:r>
      <w:r w:rsidRPr="00C917DC">
        <w:rPr>
          <w:rFonts w:ascii="Arabic Transparent" w:eastAsia="Times New Roman" w:hAnsi="Arabic Transparent" w:cs="Arabic Transparent"/>
          <w:b/>
          <w:bCs/>
          <w:sz w:val="24"/>
          <w:szCs w:val="24"/>
          <w:rtl/>
        </w:rPr>
        <w:t>) خويشتن آدمي رهنمون مي</w:t>
      </w:r>
      <w:r w:rsidRPr="00C917DC">
        <w:rPr>
          <w:rFonts w:ascii="Arabic Transparent" w:eastAsia="Times New Roman" w:hAnsi="Arabic Transparent" w:cs="Arabic Transparent"/>
          <w:b/>
          <w:bCs/>
          <w:sz w:val="24"/>
          <w:szCs w:val="24"/>
          <w:rtl/>
        </w:rPr>
        <w:softHyphen/>
        <w:t>شود(</w:t>
      </w:r>
      <w:r w:rsidRPr="00C917DC">
        <w:rPr>
          <w:rFonts w:ascii="Arabic Transparent" w:eastAsia="Times New Roman" w:hAnsi="Arabic Transparent" w:cs="Arabic Transparent"/>
          <w:b/>
          <w:bCs/>
          <w:sz w:val="24"/>
          <w:szCs w:val="24"/>
        </w:rPr>
        <w:t>Taylor, 1992:32</w:t>
      </w:r>
      <w:r w:rsidRPr="00C917DC">
        <w:rPr>
          <w:rFonts w:ascii="Arabic Transparent" w:eastAsia="Times New Roman" w:hAnsi="Arabic Transparent" w:cs="Arabic Transparent"/>
          <w:b/>
          <w:bCs/>
          <w:sz w:val="24"/>
          <w:szCs w:val="24"/>
          <w:rtl/>
        </w:rPr>
        <w:t xml:space="preserve">).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تيلور مي‏گويد: "ما هويت خود را در تنهايي نمي‏شناسيم، بلکه آن را از طريق گفت و گوي آشکار يا غيرآشکار با ديگران کشف مي‏کنيم" (</w:t>
      </w:r>
      <w:r w:rsidRPr="00C917DC">
        <w:rPr>
          <w:rFonts w:ascii="Arabic Transparent" w:eastAsia="Times New Roman" w:hAnsi="Arabic Transparent" w:cs="Arabic Transparent"/>
          <w:b/>
          <w:bCs/>
          <w:sz w:val="24"/>
          <w:szCs w:val="24"/>
        </w:rPr>
        <w:t>Taylor, 1992: 34</w:t>
      </w:r>
      <w:r w:rsidRPr="00C917DC">
        <w:rPr>
          <w:rFonts w:ascii="Arabic Transparent" w:eastAsia="Times New Roman" w:hAnsi="Arabic Transparent" w:cs="Arabic Transparent"/>
          <w:b/>
          <w:bCs/>
          <w:sz w:val="24"/>
          <w:szCs w:val="24"/>
          <w:rtl/>
        </w:rPr>
        <w:t>). اين گفتگو در دو سطح انجام مي‏گيرد: نزديکان و اجتماع (</w:t>
      </w:r>
      <w:r w:rsidRPr="00C917DC">
        <w:rPr>
          <w:rFonts w:ascii="Arabic Transparent" w:eastAsia="Times New Roman" w:hAnsi="Arabic Transparent" w:cs="Arabic Transparent"/>
          <w:b/>
          <w:bCs/>
          <w:sz w:val="24"/>
          <w:szCs w:val="24"/>
        </w:rPr>
        <w:t>Intimate and social</w:t>
      </w:r>
      <w:r w:rsidRPr="00C917DC">
        <w:rPr>
          <w:rFonts w:ascii="Arabic Transparent" w:eastAsia="Times New Roman" w:hAnsi="Arabic Transparent" w:cs="Arabic Transparent"/>
          <w:b/>
          <w:bCs/>
          <w:sz w:val="24"/>
          <w:szCs w:val="24"/>
          <w:rtl/>
        </w:rPr>
        <w:t>). در سطح نزديکان، هويت يک فرد از طريق ارتباط با افراد مهم زندگي</w:t>
      </w:r>
      <w:r w:rsidRPr="00C917DC">
        <w:rPr>
          <w:rFonts w:ascii="Arabic Transparent" w:eastAsia="Times New Roman" w:hAnsi="Arabic Transparent" w:cs="Arabic Transparent"/>
          <w:b/>
          <w:bCs/>
          <w:sz w:val="24"/>
          <w:szCs w:val="24"/>
          <w:rtl/>
        </w:rPr>
        <w:softHyphen/>
        <w:t>اش، همانند والدين يا معلمان، شکل مي‏گيرد. گفتگو در سطح اجتماعي از اهميت باز هم بيشتري برخوردار است، زيرا در اين سطح، فرد در تماس با ديگران زبان، به معني وسيع آن، را مي‏آموزد تا خويشتن را تعريف کند. فرد فقط مي‏تواند در ميان ديگران يک شخص(</w:t>
      </w:r>
      <w:r w:rsidRPr="00C917DC">
        <w:rPr>
          <w:rFonts w:ascii="Arabic Transparent" w:eastAsia="Times New Roman" w:hAnsi="Arabic Transparent" w:cs="Arabic Transparent"/>
          <w:b/>
          <w:bCs/>
          <w:sz w:val="24"/>
          <w:szCs w:val="24"/>
        </w:rPr>
        <w:t>self</w:t>
      </w:r>
      <w:r w:rsidRPr="00C917DC">
        <w:rPr>
          <w:rFonts w:ascii="Arabic Transparent" w:eastAsia="Times New Roman" w:hAnsi="Arabic Transparent" w:cs="Arabic Transparent"/>
          <w:b/>
          <w:bCs/>
          <w:sz w:val="24"/>
          <w:szCs w:val="24"/>
          <w:rtl/>
        </w:rPr>
        <w:t>) محسوب شود. لذا تيلور ضرورت ارتباط با ديگران را يک "شرط استعلايي" (</w:t>
      </w:r>
      <w:r w:rsidRPr="00C917DC">
        <w:rPr>
          <w:rFonts w:ascii="Arabic Transparent" w:eastAsia="Times New Roman" w:hAnsi="Arabic Transparent" w:cs="Arabic Transparent"/>
          <w:b/>
          <w:bCs/>
          <w:sz w:val="24"/>
          <w:szCs w:val="24"/>
        </w:rPr>
        <w:t>transcendental condition a</w:t>
      </w:r>
      <w:r w:rsidRPr="00C917DC">
        <w:rPr>
          <w:rFonts w:ascii="Arabic Transparent" w:eastAsia="Times New Roman" w:hAnsi="Arabic Transparent" w:cs="Arabic Transparent"/>
          <w:b/>
          <w:bCs/>
          <w:sz w:val="24"/>
          <w:szCs w:val="24"/>
          <w:rtl/>
        </w:rPr>
        <w:t>) شخص بودن مي‏خواند، زيرا تنها از اين طريق مي‏توان اطمينان حاصل کرد که آن</w:t>
      </w:r>
      <w:r w:rsidRPr="00C917DC">
        <w:rPr>
          <w:rFonts w:ascii="Arabic Transparent" w:eastAsia="Times New Roman" w:hAnsi="Arabic Transparent" w:cs="Arabic Transparent"/>
          <w:b/>
          <w:bCs/>
          <w:sz w:val="24"/>
          <w:szCs w:val="24"/>
          <w:rtl/>
        </w:rPr>
        <w:softHyphen/>
        <w:t>چه ما مي‏گوييم، حتي براي خودمان، معني</w:t>
      </w:r>
      <w:r w:rsidRPr="00C917DC">
        <w:rPr>
          <w:rFonts w:ascii="Arabic Transparent" w:eastAsia="Times New Roman" w:hAnsi="Arabic Transparent" w:cs="Arabic Transparent"/>
          <w:b/>
          <w:bCs/>
          <w:sz w:val="24"/>
          <w:szCs w:val="24"/>
          <w:rtl/>
        </w:rPr>
        <w:softHyphen/>
        <w:t>دار است (</w:t>
      </w:r>
      <w:r w:rsidRPr="00C917DC">
        <w:rPr>
          <w:rFonts w:ascii="Arabic Transparent" w:eastAsia="Times New Roman" w:hAnsi="Arabic Transparent" w:cs="Arabic Transparent"/>
          <w:b/>
          <w:bCs/>
          <w:sz w:val="24"/>
          <w:szCs w:val="24"/>
        </w:rPr>
        <w:t>Taylor, 1989: 38</w:t>
      </w:r>
      <w:r w:rsidRPr="00C917DC">
        <w:rPr>
          <w:rFonts w:ascii="Arabic Transparent" w:eastAsia="Times New Roman" w:hAnsi="Arabic Transparent" w:cs="Arabic Transparent"/>
          <w:b/>
          <w:bCs/>
          <w:sz w:val="24"/>
          <w:szCs w:val="24"/>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آن</w:t>
      </w:r>
      <w:r w:rsidRPr="00C917DC">
        <w:rPr>
          <w:rFonts w:ascii="Arabic Transparent" w:eastAsia="Times New Roman" w:hAnsi="Arabic Transparent" w:cs="Arabic Transparent"/>
          <w:b/>
          <w:bCs/>
          <w:sz w:val="24"/>
          <w:szCs w:val="24"/>
          <w:rtl/>
        </w:rPr>
        <w:softHyphen/>
        <w:t>چه به خوبي ويژگي گفتگويي هويت افراد را مشخص مي‏کند زبان است. تيلور مي‏گويد: "جز از طريق يادگيري زبان، راهي براي شخص شدن نيست" (</w:t>
      </w:r>
      <w:r w:rsidRPr="00C917DC">
        <w:rPr>
          <w:rFonts w:ascii="Arabic Transparent" w:eastAsia="Times New Roman" w:hAnsi="Arabic Transparent" w:cs="Arabic Transparent"/>
          <w:b/>
          <w:bCs/>
          <w:sz w:val="24"/>
          <w:szCs w:val="24"/>
        </w:rPr>
        <w:t>Taylor, 1991:32 and</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Taylor, 1989: 35</w:t>
      </w:r>
      <w:r w:rsidRPr="00C917DC">
        <w:rPr>
          <w:rFonts w:ascii="Arabic Transparent" w:eastAsia="Times New Roman" w:hAnsi="Arabic Transparent" w:cs="Arabic Transparent"/>
          <w:b/>
          <w:bCs/>
          <w:sz w:val="24"/>
          <w:szCs w:val="24"/>
          <w:rtl/>
        </w:rPr>
        <w:t>). اين به آن سبب است كه تمام پديده‏هاي انساني، هم</w:t>
      </w:r>
      <w:r w:rsidRPr="00C917DC">
        <w:rPr>
          <w:rFonts w:ascii="Arabic Transparent" w:eastAsia="Times New Roman" w:hAnsi="Arabic Transparent" w:cs="Arabic Transparent"/>
          <w:b/>
          <w:bCs/>
          <w:sz w:val="24"/>
          <w:szCs w:val="24"/>
          <w:rtl/>
        </w:rPr>
        <w:softHyphen/>
        <w:t>چون نهادها، رسوم و نقش</w:t>
      </w:r>
      <w:r w:rsidRPr="00C917DC">
        <w:rPr>
          <w:rFonts w:ascii="Arabic Transparent" w:eastAsia="Times New Roman" w:hAnsi="Arabic Transparent" w:cs="Arabic Transparent"/>
          <w:b/>
          <w:bCs/>
          <w:sz w:val="24"/>
          <w:szCs w:val="24"/>
          <w:rtl/>
        </w:rPr>
        <w:softHyphen/>
        <w:t>هاي اجتماعي، داراي يک بعد معنايي بوده و به طور بنيادي بر زبان متکي</w:t>
      </w:r>
      <w:r w:rsidRPr="00C917DC">
        <w:rPr>
          <w:rFonts w:ascii="Arabic Transparent" w:eastAsia="Times New Roman" w:hAnsi="Arabic Transparent" w:cs="Arabic Transparent"/>
          <w:b/>
          <w:bCs/>
          <w:sz w:val="24"/>
          <w:szCs w:val="24"/>
          <w:rtl/>
        </w:rPr>
        <w:softHyphen/>
        <w:t>اند. البته مراد تيلور از زبان همه "آفرينش‏هاي نمادين و بياني انسان" است که "نه تنها کلماتي را که ما بر زبان مي‏آوريم در بر مي‏گيرد، بلکه ساير شيوه‏هاي بياني, هم</w:t>
      </w:r>
      <w:r w:rsidRPr="00C917DC">
        <w:rPr>
          <w:rFonts w:ascii="Arabic Transparent" w:eastAsia="Times New Roman" w:hAnsi="Arabic Transparent" w:cs="Arabic Transparent"/>
          <w:b/>
          <w:bCs/>
          <w:sz w:val="24"/>
          <w:szCs w:val="24"/>
          <w:rtl/>
        </w:rPr>
        <w:softHyphen/>
        <w:t>چون زبان هنر يا عشق, را که ما از طريق آن‏ها (مکنونات) خود را ابراز مي‏کنيم نيز شامل مي‏شود" (</w:t>
      </w:r>
      <w:r w:rsidRPr="00C917DC">
        <w:rPr>
          <w:rFonts w:ascii="Arabic Transparent" w:eastAsia="Times New Roman" w:hAnsi="Arabic Transparent" w:cs="Arabic Transparent"/>
          <w:b/>
          <w:bCs/>
          <w:sz w:val="24"/>
          <w:szCs w:val="24"/>
        </w:rPr>
        <w:t>Taylor, 1991: 33</w:t>
      </w:r>
      <w:r w:rsidRPr="00C917DC">
        <w:rPr>
          <w:rFonts w:ascii="Arabic Transparent" w:eastAsia="Times New Roman" w:hAnsi="Arabic Transparent" w:cs="Arabic Transparent"/>
          <w:b/>
          <w:bCs/>
          <w:sz w:val="24"/>
          <w:szCs w:val="24"/>
          <w:rtl/>
        </w:rPr>
        <w:t>). نکته اساسي در باب زبان آن است که، همان</w:t>
      </w:r>
      <w:r w:rsidRPr="00C917DC">
        <w:rPr>
          <w:rFonts w:ascii="Arabic Transparent" w:eastAsia="Times New Roman" w:hAnsi="Arabic Transparent" w:cs="Arabic Transparent"/>
          <w:b/>
          <w:bCs/>
          <w:sz w:val="24"/>
          <w:szCs w:val="24"/>
          <w:rtl/>
        </w:rPr>
        <w:softHyphen/>
        <w:t xml:space="preserve">گونه که </w:t>
      </w:r>
      <w:r w:rsidRPr="00C917DC">
        <w:rPr>
          <w:rFonts w:ascii="Arabic Transparent" w:eastAsia="Times New Roman" w:hAnsi="Arabic Transparent" w:cs="Arabic Transparent"/>
          <w:b/>
          <w:bCs/>
          <w:sz w:val="24"/>
          <w:szCs w:val="24"/>
          <w:rtl/>
        </w:rPr>
        <w:lastRenderedPageBreak/>
        <w:t>ويتگنشتاين نشان داده، زبان خصوصي وجود ندارد (</w:t>
      </w:r>
      <w:r w:rsidRPr="00C917DC">
        <w:rPr>
          <w:rFonts w:ascii="Arabic Transparent" w:eastAsia="Times New Roman" w:hAnsi="Arabic Transparent" w:cs="Arabic Transparent"/>
          <w:b/>
          <w:bCs/>
          <w:sz w:val="24"/>
          <w:szCs w:val="24"/>
        </w:rPr>
        <w:t>Taylor, 1997: 133</w:t>
      </w:r>
      <w:r w:rsidRPr="00C917DC">
        <w:rPr>
          <w:rFonts w:ascii="Arabic Transparent" w:eastAsia="Times New Roman" w:hAnsi="Arabic Transparent" w:cs="Arabic Transparent"/>
          <w:b/>
          <w:bCs/>
          <w:sz w:val="24"/>
          <w:szCs w:val="24"/>
          <w:rtl/>
        </w:rPr>
        <w:t>). زبان در جامعه گفتاري (</w:t>
      </w:r>
      <w:r w:rsidRPr="00C917DC">
        <w:rPr>
          <w:rFonts w:ascii="Arabic Transparent" w:eastAsia="Times New Roman" w:hAnsi="Arabic Transparent" w:cs="Arabic Transparent"/>
          <w:b/>
          <w:bCs/>
          <w:sz w:val="24"/>
          <w:szCs w:val="24"/>
        </w:rPr>
        <w:t>speech community</w:t>
      </w:r>
      <w:r w:rsidRPr="00C917DC">
        <w:rPr>
          <w:rFonts w:ascii="Arabic Transparent" w:eastAsia="Times New Roman" w:hAnsi="Arabic Transparent" w:cs="Arabic Transparent"/>
          <w:b/>
          <w:bCs/>
          <w:sz w:val="24"/>
          <w:szCs w:val="24"/>
          <w:rtl/>
        </w:rPr>
        <w:t>), پديدار شده و متحول مي‏شود.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ديدگاه تيلور در باب هويت و شکل</w:t>
      </w:r>
      <w:r w:rsidRPr="00C917DC">
        <w:rPr>
          <w:rFonts w:ascii="Arabic Transparent" w:eastAsia="Times New Roman" w:hAnsi="Arabic Transparent" w:cs="Arabic Transparent"/>
          <w:b/>
          <w:bCs/>
          <w:sz w:val="24"/>
          <w:szCs w:val="24"/>
          <w:rtl/>
        </w:rPr>
        <w:softHyphen/>
        <w:t>گيري آن به طريق گفتگويي, جايگاه ويژه</w:t>
      </w:r>
      <w:r w:rsidRPr="00C917DC">
        <w:rPr>
          <w:rFonts w:ascii="Arabic Transparent" w:eastAsia="Times New Roman" w:hAnsi="Arabic Transparent" w:cs="Arabic Transparent"/>
          <w:b/>
          <w:bCs/>
          <w:sz w:val="24"/>
          <w:szCs w:val="24"/>
          <w:rtl/>
        </w:rPr>
        <w:softHyphen/>
        <w:t>اي را براي فرهنگ باز مي‏کند. جامعه فرهنگي يکي از مهم</w:t>
      </w:r>
      <w:r w:rsidRPr="00C917DC">
        <w:rPr>
          <w:rFonts w:ascii="Arabic Transparent" w:eastAsia="Times New Roman" w:hAnsi="Arabic Transparent" w:cs="Arabic Transparent"/>
          <w:b/>
          <w:bCs/>
          <w:sz w:val="24"/>
          <w:szCs w:val="24"/>
          <w:rtl/>
        </w:rPr>
        <w:softHyphen/>
        <w:t>ترين و شايد مهم</w:t>
      </w:r>
      <w:r w:rsidRPr="00C917DC">
        <w:rPr>
          <w:rFonts w:ascii="Arabic Transparent" w:eastAsia="Times New Roman" w:hAnsi="Arabic Transparent" w:cs="Arabic Transparent"/>
          <w:b/>
          <w:bCs/>
          <w:sz w:val="24"/>
          <w:szCs w:val="24"/>
          <w:rtl/>
        </w:rPr>
        <w:softHyphen/>
        <w:t>ترين، جامعه</w:t>
      </w:r>
      <w:r w:rsidRPr="00C917DC">
        <w:rPr>
          <w:rFonts w:ascii="Arabic Transparent" w:eastAsia="Times New Roman" w:hAnsi="Arabic Transparent" w:cs="Arabic Transparent"/>
          <w:b/>
          <w:bCs/>
          <w:sz w:val="24"/>
          <w:szCs w:val="24"/>
          <w:rtl/>
        </w:rPr>
        <w:softHyphen/>
        <w:t>اي است که به هويت افراد شکل مي‏بخشد و در آن ارتباط گفتگويي ميان فرد و ديگران برقرار مي‏شود. زبان، در هر دو معناي مضيق و موسع آن، محصول جامعه فرهنگي است. بنابراين، مي‏توان گفت چارچوب‏هاي اخلاقي و مفاهيم فضيلت، که هويت ما را شكل مي دهند، پديده‏هايي فرهنگي(</w:t>
      </w:r>
      <w:r w:rsidRPr="00C917DC">
        <w:rPr>
          <w:rFonts w:ascii="Arabic Transparent" w:eastAsia="Times New Roman" w:hAnsi="Arabic Transparent" w:cs="Arabic Transparent"/>
          <w:b/>
          <w:bCs/>
          <w:sz w:val="24"/>
          <w:szCs w:val="24"/>
        </w:rPr>
        <w:t>cultural phenomena</w:t>
      </w:r>
      <w:r w:rsidRPr="00C917DC">
        <w:rPr>
          <w:rFonts w:ascii="Arabic Transparent" w:eastAsia="Times New Roman" w:hAnsi="Arabic Transparent" w:cs="Arabic Transparent"/>
          <w:b/>
          <w:bCs/>
          <w:sz w:val="24"/>
          <w:szCs w:val="24"/>
          <w:rtl/>
        </w:rPr>
        <w:t>) هستند.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يک نکته مبهم در بحث</w:t>
      </w:r>
      <w:r w:rsidRPr="00C917DC">
        <w:rPr>
          <w:rFonts w:ascii="Arabic Transparent" w:eastAsia="Times New Roman" w:hAnsi="Arabic Transparent" w:cs="Arabic Transparent"/>
          <w:b/>
          <w:bCs/>
          <w:sz w:val="24"/>
          <w:szCs w:val="24"/>
          <w:rtl/>
        </w:rPr>
        <w:softHyphen/>
        <w:t>هاي تيلور آن است که اگرچه او ويژگي گفتگويي را يک "شرط استعلايي" زندگي آدمي مي</w:t>
      </w:r>
      <w:r w:rsidRPr="00C917DC">
        <w:rPr>
          <w:rFonts w:ascii="Arabic Transparent" w:eastAsia="Times New Roman" w:hAnsi="Arabic Transparent" w:cs="Arabic Transparent"/>
          <w:b/>
          <w:bCs/>
          <w:sz w:val="24"/>
          <w:szCs w:val="24"/>
          <w:rtl/>
        </w:rPr>
        <w:softHyphen/>
        <w:t>شمرد، اما گاهي بر اهميت اخلاقي آن تأکيد مي‏کند. براي مثال، وي مي‏گويد: مردود شمردن مطالباتي که از بيرون از خويشتن سرچشمه مي‏گيرند دقيقاً به منزله نقض شرايطي است که به مهم تلقي شدن امور مي‏انجامد و در نهايت به سخيف به حساب آمدن همه امور مي‏انجامد(</w:t>
      </w:r>
      <w:r w:rsidRPr="00C917DC">
        <w:rPr>
          <w:rFonts w:ascii="Arabic Transparent" w:eastAsia="Times New Roman" w:hAnsi="Arabic Transparent" w:cs="Arabic Transparent"/>
          <w:b/>
          <w:bCs/>
          <w:sz w:val="24"/>
          <w:szCs w:val="24"/>
        </w:rPr>
        <w:t>Taylor, 1991: 40</w:t>
      </w:r>
      <w:r w:rsidRPr="00C917DC">
        <w:rPr>
          <w:rFonts w:ascii="Arabic Transparent" w:eastAsia="Times New Roman" w:hAnsi="Arabic Transparent" w:cs="Arabic Transparent"/>
          <w:b/>
          <w:bCs/>
          <w:sz w:val="24"/>
          <w:szCs w:val="24"/>
          <w:rtl/>
        </w:rPr>
        <w:t>). به نظر مي‏رسد که منظور تيلور آن است که اهميت اخلاقي روابط دو سويه از ويژگي دو سويه، يا گفت و گويي، هويت آدمي سرچشمه مي‏گيرد، در حالي</w:t>
      </w:r>
      <w:r w:rsidRPr="00C917DC">
        <w:rPr>
          <w:rFonts w:ascii="Arabic Transparent" w:eastAsia="Times New Roman" w:hAnsi="Arabic Transparent" w:cs="Arabic Transparent"/>
          <w:b/>
          <w:bCs/>
          <w:sz w:val="24"/>
          <w:szCs w:val="24"/>
          <w:rtl/>
        </w:rPr>
        <w:softHyphen/>
        <w:t>که وي اثبات نمي‏کند که ارتباط منطقي مستقيمي بين اين دو وجود دارد.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آنگاه که تيلور مدعي مي</w:t>
      </w:r>
      <w:r w:rsidRPr="00C917DC">
        <w:rPr>
          <w:rFonts w:ascii="Arabic Transparent" w:eastAsia="Times New Roman" w:hAnsi="Arabic Transparent" w:cs="Arabic Transparent"/>
          <w:b/>
          <w:bCs/>
          <w:sz w:val="24"/>
          <w:szCs w:val="24"/>
          <w:rtl/>
        </w:rPr>
        <w:softHyphen/>
        <w:t>شود شکل</w:t>
      </w:r>
      <w:r w:rsidRPr="00C917DC">
        <w:rPr>
          <w:rFonts w:ascii="Arabic Transparent" w:eastAsia="Times New Roman" w:hAnsi="Arabic Transparent" w:cs="Arabic Transparent"/>
          <w:b/>
          <w:bCs/>
          <w:sz w:val="24"/>
          <w:szCs w:val="24"/>
          <w:rtl/>
        </w:rPr>
        <w:softHyphen/>
        <w:t xml:space="preserve">گيري هويت ما از طريق گفتگو به آن معني است که روابط ما با ديگران نمي‏تواند ابزاري تلقي شود، مسأله مشابهي بروز مي‏کند. نفي روابط ابزاري توسط تيلور به دو صورت انجام مي‏گيرد، اگرچه او خود ميان اين دو تمييزي قائل نمي‏شود. از يک </w:t>
      </w:r>
      <w:r w:rsidRPr="00C917DC">
        <w:rPr>
          <w:rFonts w:ascii="Arabic Transparent" w:eastAsia="Times New Roman" w:hAnsi="Arabic Transparent" w:cs="Arabic Transparent"/>
          <w:b/>
          <w:bCs/>
          <w:sz w:val="24"/>
          <w:szCs w:val="24"/>
          <w:rtl/>
        </w:rPr>
        <w:softHyphen/>
        <w:t>سو، او داشتن روابط ابزاري پي در پي و موقت با ديگران را نفي نمي‏کند، اگرچه مدعي است که چنين روابطي به کشف هويت شخص مددي نمي‏رساند و تنها اموري لذت جويانه و خالي از اثر تلقي مي‏شود (</w:t>
      </w:r>
      <w:r w:rsidRPr="00C917DC">
        <w:rPr>
          <w:rFonts w:ascii="Arabic Transparent" w:eastAsia="Times New Roman" w:hAnsi="Arabic Transparent" w:cs="Arabic Transparent"/>
          <w:b/>
          <w:bCs/>
          <w:sz w:val="24"/>
          <w:szCs w:val="24"/>
        </w:rPr>
        <w:t>Taylor, 1991: 53</w:t>
      </w:r>
      <w:r w:rsidRPr="00C917DC">
        <w:rPr>
          <w:rFonts w:ascii="Arabic Transparent" w:eastAsia="Times New Roman" w:hAnsi="Arabic Transparent" w:cs="Arabic Transparent"/>
          <w:b/>
          <w:bCs/>
          <w:sz w:val="24"/>
          <w:szCs w:val="24"/>
          <w:rtl/>
        </w:rPr>
        <w:t>). از سوي ديگر، مدعي مي‏شود که مفهوم روابط ابزاري اصولاً بي</w:t>
      </w:r>
      <w:r w:rsidRPr="00C917DC">
        <w:rPr>
          <w:rFonts w:ascii="Arabic Transparent" w:eastAsia="Times New Roman" w:hAnsi="Arabic Transparent" w:cs="Arabic Transparent"/>
          <w:b/>
          <w:bCs/>
          <w:sz w:val="24"/>
          <w:szCs w:val="24"/>
          <w:rtl/>
        </w:rPr>
        <w:softHyphen/>
        <w:t>معناست, مي‏گويد: اين</w:t>
      </w:r>
      <w:r w:rsidRPr="00C917DC">
        <w:rPr>
          <w:rFonts w:ascii="Arabic Transparent" w:eastAsia="Times New Roman" w:hAnsi="Arabic Transparent" w:cs="Arabic Transparent"/>
          <w:b/>
          <w:bCs/>
          <w:sz w:val="24"/>
          <w:szCs w:val="24"/>
          <w:rtl/>
        </w:rPr>
        <w:softHyphen/>
        <w:t>که کسي بتواند از طريق اين</w:t>
      </w:r>
      <w:r w:rsidRPr="00C917DC">
        <w:rPr>
          <w:rFonts w:ascii="Arabic Transparent" w:eastAsia="Times New Roman" w:hAnsi="Arabic Transparent" w:cs="Arabic Transparent"/>
          <w:b/>
          <w:bCs/>
          <w:sz w:val="24"/>
          <w:szCs w:val="24"/>
          <w:rtl/>
        </w:rPr>
        <w:softHyphen/>
        <w:t>گونه روابط ابزاري کمال خود را جست و جو کند فقط يک توهم به نظر مي‏رسد، درست به همان</w:t>
      </w:r>
      <w:r w:rsidRPr="00C917DC">
        <w:rPr>
          <w:rFonts w:ascii="Arabic Transparent" w:eastAsia="Times New Roman" w:hAnsi="Arabic Transparent" w:cs="Arabic Transparent"/>
          <w:b/>
          <w:bCs/>
          <w:sz w:val="24"/>
          <w:szCs w:val="24"/>
          <w:rtl/>
        </w:rPr>
        <w:softHyphen/>
        <w:t>گونه که ما بپنداريم کسي مي‏تواند هويت مطلوب خود را انتخاب کند بدون آن که وجود يک چشم انداز تعيين</w:t>
      </w:r>
      <w:r w:rsidRPr="00C917DC">
        <w:rPr>
          <w:rFonts w:ascii="Arabic Transparent" w:eastAsia="Times New Roman" w:hAnsi="Arabic Transparent" w:cs="Arabic Transparent"/>
          <w:b/>
          <w:bCs/>
          <w:sz w:val="24"/>
          <w:szCs w:val="24"/>
          <w:rtl/>
        </w:rPr>
        <w:softHyphen/>
        <w:t>کننده اهميت‏ها را بپذيرد; چشم اندازي که خود وراي انتخاب است (</w:t>
      </w:r>
      <w:r w:rsidRPr="00C917DC">
        <w:rPr>
          <w:rFonts w:ascii="Arabic Transparent" w:eastAsia="Times New Roman" w:hAnsi="Arabic Transparent" w:cs="Arabic Transparent"/>
          <w:b/>
          <w:bCs/>
          <w:sz w:val="24"/>
          <w:szCs w:val="24"/>
        </w:rPr>
        <w:t>Taylor, 1991: 53</w:t>
      </w:r>
      <w:r w:rsidRPr="00C917DC">
        <w:rPr>
          <w:rFonts w:ascii="Arabic Transparent" w:eastAsia="Times New Roman" w:hAnsi="Arabic Transparent" w:cs="Arabic Transparent"/>
          <w:b/>
          <w:bCs/>
          <w:sz w:val="24"/>
          <w:szCs w:val="24"/>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تيلور بايد ميان بحث</w:t>
      </w:r>
      <w:r w:rsidRPr="00C917DC">
        <w:rPr>
          <w:rFonts w:ascii="Arabic Transparent" w:eastAsia="Times New Roman" w:hAnsi="Arabic Transparent" w:cs="Arabic Transparent"/>
          <w:b/>
          <w:bCs/>
          <w:sz w:val="24"/>
          <w:szCs w:val="24"/>
          <w:rtl/>
        </w:rPr>
        <w:softHyphen/>
        <w:t>هاي خود در مورد امور استعلايي و اخلاقي تفکيک قائل شود. در حالي</w:t>
      </w:r>
      <w:r w:rsidRPr="00C917DC">
        <w:rPr>
          <w:rFonts w:ascii="Arabic Transparent" w:eastAsia="Times New Roman" w:hAnsi="Arabic Transparent" w:cs="Arabic Transparent"/>
          <w:b/>
          <w:bCs/>
          <w:sz w:val="24"/>
          <w:szCs w:val="24"/>
          <w:rtl/>
        </w:rPr>
        <w:softHyphen/>
        <w:t>که استدلال</w:t>
      </w:r>
      <w:r w:rsidRPr="00C917DC">
        <w:rPr>
          <w:rFonts w:ascii="Arabic Transparent" w:eastAsia="Times New Roman" w:hAnsi="Arabic Transparent" w:cs="Arabic Transparent"/>
          <w:b/>
          <w:bCs/>
          <w:sz w:val="24"/>
          <w:szCs w:val="24"/>
          <w:rtl/>
        </w:rPr>
        <w:softHyphen/>
        <w:t>هاي وي در باب ويژگي گفتگويي هويت آدمي، اين ويژگي را به عنوان يک شرط استعلايي مطرح مي‏سازد، نتيجه</w:t>
      </w:r>
      <w:r w:rsidRPr="00C917DC">
        <w:rPr>
          <w:rFonts w:ascii="Arabic Transparent" w:eastAsia="Times New Roman" w:hAnsi="Arabic Transparent" w:cs="Arabic Transparent"/>
          <w:b/>
          <w:bCs/>
          <w:sz w:val="24"/>
          <w:szCs w:val="24"/>
          <w:rtl/>
        </w:rPr>
        <w:softHyphen/>
        <w:t>گيري اخلاقي از آن را الزام</w:t>
      </w:r>
      <w:r w:rsidRPr="00C917DC">
        <w:rPr>
          <w:rFonts w:ascii="Arabic Transparent" w:eastAsia="Times New Roman" w:hAnsi="Arabic Transparent" w:cs="Arabic Transparent"/>
          <w:b/>
          <w:bCs/>
          <w:sz w:val="24"/>
          <w:szCs w:val="24"/>
          <w:rtl/>
        </w:rPr>
        <w:softHyphen/>
        <w:t xml:space="preserve">آور نمي‏نمايد. برخلاف ادعاي وي، نمي‏توان از اجتناب ناپذير بودن ويژگي گفتگويي هويت آدمي، سخيف بودن روابط ابزاري را استنباط کرد. </w:t>
      </w:r>
    </w:p>
    <w:p w:rsidR="00C917DC" w:rsidRPr="00C917DC" w:rsidRDefault="00C917DC" w:rsidP="00C917D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917DC">
        <w:rPr>
          <w:rFonts w:ascii="Arabic Transparent" w:eastAsia="Times New Roman" w:hAnsi="Arabic Transparent" w:cs="Arabic Transparent"/>
          <w:b/>
          <w:bCs/>
          <w:sz w:val="27"/>
          <w:szCs w:val="27"/>
          <w:rtl/>
        </w:rPr>
        <w:t>به رسميت شناخته شدن (</w:t>
      </w:r>
      <w:r w:rsidRPr="00C917DC">
        <w:rPr>
          <w:rFonts w:ascii="Arabic Transparent" w:eastAsia="Times New Roman" w:hAnsi="Arabic Transparent" w:cs="Arabic Transparent"/>
          <w:b/>
          <w:bCs/>
          <w:sz w:val="27"/>
          <w:szCs w:val="27"/>
        </w:rPr>
        <w:t xml:space="preserve">being </w:t>
      </w:r>
      <w:proofErr w:type="spellStart"/>
      <w:r w:rsidRPr="00C917DC">
        <w:rPr>
          <w:rFonts w:ascii="Arabic Transparent" w:eastAsia="Times New Roman" w:hAnsi="Arabic Transparent" w:cs="Arabic Transparent"/>
          <w:b/>
          <w:bCs/>
          <w:sz w:val="27"/>
          <w:szCs w:val="27"/>
        </w:rPr>
        <w:t>recognised</w:t>
      </w:r>
      <w:proofErr w:type="spellEnd"/>
      <w:r w:rsidRPr="00C917DC">
        <w:rPr>
          <w:rFonts w:ascii="Arabic Transparent" w:eastAsia="Times New Roman" w:hAnsi="Arabic Transparent" w:cs="Arabic Transparent"/>
          <w:b/>
          <w:bCs/>
          <w:sz w:val="27"/>
          <w:szCs w:val="27"/>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تيلور مدعي است که ويژگي گفتگويي هويت آدمي ضرورت به رسميت شناخته شدن اين هويت را در پي مي‏آورد. وي مي‏گويد: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نظريه (من) آن است که هويت ما تا حدي از طريق به رسميت شناخته شدن يا عدم آن، يا حتي به رسميت شناخته شدن نادرست (</w:t>
      </w:r>
      <w:r w:rsidRPr="00C917DC">
        <w:rPr>
          <w:rFonts w:ascii="Arabic Transparent" w:eastAsia="Times New Roman" w:hAnsi="Arabic Transparent" w:cs="Arabic Transparent"/>
          <w:b/>
          <w:bCs/>
          <w:sz w:val="24"/>
          <w:szCs w:val="24"/>
        </w:rPr>
        <w:t>misrecognition</w:t>
      </w:r>
      <w:r w:rsidRPr="00C917DC">
        <w:rPr>
          <w:rFonts w:ascii="Arabic Transparent" w:eastAsia="Times New Roman" w:hAnsi="Arabic Transparent" w:cs="Arabic Transparent"/>
          <w:b/>
          <w:bCs/>
          <w:sz w:val="24"/>
          <w:szCs w:val="24"/>
          <w:rtl/>
        </w:rPr>
        <w:t>) ما توسط ديگران، شکل مي‏گيرد. بنابراين، يک فرد يا يک گروه ممکن است متحمل لطمه جدي, يا حتي تحريف جدي (هويت), شود اگر افراد يا اجتماع پيرامون آن‏ها تصويري محدود</w:t>
      </w:r>
      <w:r w:rsidRPr="00C917DC">
        <w:rPr>
          <w:rFonts w:ascii="Arabic Transparent" w:eastAsia="Times New Roman" w:hAnsi="Arabic Transparent" w:cs="Arabic Transparent"/>
          <w:b/>
          <w:bCs/>
          <w:sz w:val="24"/>
          <w:szCs w:val="24"/>
          <w:rtl/>
        </w:rPr>
        <w:softHyphen/>
        <w:t>کننده، پست يا تحقيرآميز از ايشان برايشان بازتاب دهند (</w:t>
      </w:r>
      <w:r w:rsidRPr="00C917DC">
        <w:rPr>
          <w:rFonts w:ascii="Arabic Transparent" w:eastAsia="Times New Roman" w:hAnsi="Arabic Transparent" w:cs="Arabic Transparent"/>
          <w:b/>
          <w:bCs/>
          <w:sz w:val="24"/>
          <w:szCs w:val="24"/>
        </w:rPr>
        <w:t>Taylor, 1992: 25</w:t>
      </w:r>
      <w:r w:rsidRPr="00C917DC">
        <w:rPr>
          <w:rFonts w:ascii="Arabic Transparent" w:eastAsia="Times New Roman" w:hAnsi="Arabic Transparent" w:cs="Arabic Transparent"/>
          <w:b/>
          <w:bCs/>
          <w:sz w:val="24"/>
          <w:szCs w:val="24"/>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سرمنشأ مفهوم به رسميت شناخته شدن, در نوشته</w:t>
      </w:r>
      <w:r w:rsidRPr="00C917DC">
        <w:rPr>
          <w:rFonts w:ascii="Arabic Transparent" w:eastAsia="Times New Roman" w:hAnsi="Arabic Transparent" w:cs="Arabic Transparent"/>
          <w:b/>
          <w:bCs/>
          <w:sz w:val="24"/>
          <w:szCs w:val="24"/>
          <w:rtl/>
        </w:rPr>
        <w:softHyphen/>
        <w:t xml:space="preserve">‏هاي روسو و به ويژه هگل, ديده مي‏شود. هگل مي‏گويد "(نفس) خودآگاه" ( </w:t>
      </w:r>
      <w:r w:rsidRPr="00C917DC">
        <w:rPr>
          <w:rFonts w:ascii="Arabic Transparent" w:eastAsia="Times New Roman" w:hAnsi="Arabic Transparent" w:cs="Arabic Transparent"/>
          <w:b/>
          <w:bCs/>
          <w:sz w:val="24"/>
          <w:szCs w:val="24"/>
        </w:rPr>
        <w:t>self-consciousness</w:t>
      </w:r>
      <w:r w:rsidRPr="00C917DC">
        <w:rPr>
          <w:rFonts w:ascii="Arabic Transparent" w:eastAsia="Times New Roman" w:hAnsi="Arabic Transparent" w:cs="Arabic Transparent"/>
          <w:b/>
          <w:bCs/>
          <w:sz w:val="24"/>
          <w:szCs w:val="24"/>
          <w:rtl/>
        </w:rPr>
        <w:t>) در اشتياق رسيدن به "يقين در مورد خود" (</w:t>
      </w:r>
      <w:r w:rsidRPr="00C917DC">
        <w:rPr>
          <w:rFonts w:ascii="Arabic Transparent" w:eastAsia="Times New Roman" w:hAnsi="Arabic Transparent" w:cs="Arabic Transparent"/>
          <w:b/>
          <w:bCs/>
          <w:sz w:val="24"/>
          <w:szCs w:val="24"/>
        </w:rPr>
        <w:t>self-certainty</w:t>
      </w:r>
      <w:r w:rsidRPr="00C917DC">
        <w:rPr>
          <w:rFonts w:ascii="Arabic Transparent" w:eastAsia="Times New Roman" w:hAnsi="Arabic Transparent" w:cs="Arabic Transparent"/>
          <w:b/>
          <w:bCs/>
          <w:sz w:val="24"/>
          <w:szCs w:val="24"/>
          <w:rtl/>
        </w:rPr>
        <w:t>) است (</w:t>
      </w:r>
      <w:r w:rsidRPr="00C917DC">
        <w:rPr>
          <w:rFonts w:ascii="Arabic Transparent" w:eastAsia="Times New Roman" w:hAnsi="Arabic Transparent" w:cs="Arabic Transparent"/>
          <w:b/>
          <w:bCs/>
          <w:sz w:val="24"/>
          <w:szCs w:val="24"/>
        </w:rPr>
        <w:t>Taylor, 1975: 148</w:t>
      </w:r>
      <w:r w:rsidRPr="00C917DC">
        <w:rPr>
          <w:rFonts w:ascii="Arabic Transparent" w:eastAsia="Times New Roman" w:hAnsi="Arabic Transparent" w:cs="Arabic Transparent"/>
          <w:b/>
          <w:bCs/>
          <w:sz w:val="24"/>
          <w:szCs w:val="24"/>
          <w:rtl/>
        </w:rPr>
        <w:t>). زيرا ميان آن</w:t>
      </w:r>
      <w:r w:rsidRPr="00C917DC">
        <w:rPr>
          <w:rFonts w:ascii="Arabic Transparent" w:eastAsia="Times New Roman" w:hAnsi="Arabic Transparent" w:cs="Arabic Transparent"/>
          <w:b/>
          <w:bCs/>
          <w:sz w:val="24"/>
          <w:szCs w:val="24"/>
          <w:rtl/>
        </w:rPr>
        <w:softHyphen/>
        <w:t>چه نفس خودآگاه مدعي است که هست، يا تصوير خود از خويشتن و آن</w:t>
      </w:r>
      <w:r w:rsidRPr="00C917DC">
        <w:rPr>
          <w:rFonts w:ascii="Arabic Transparent" w:eastAsia="Times New Roman" w:hAnsi="Arabic Transparent" w:cs="Arabic Transparent"/>
          <w:b/>
          <w:bCs/>
          <w:sz w:val="24"/>
          <w:szCs w:val="24"/>
          <w:rtl/>
        </w:rPr>
        <w:softHyphen/>
        <w:t xml:space="preserve">چه او در دنياي واقع است، کشاکشي در جريان است. لذا، نفس خودآگاه "سخت در جست و جوي يک موجوديت بيروني، خاصه يک نفس خودآگاه ديگر، است که بيانگر وي باشد. در نتيجه، هنگامي که واقعيات بيروني، که وي براي (خودآگاه) بودنش به آن‏ها وابسته است، تصويري بيگانه را براي وي بازتاب مي‏دهند، در اين مقصود خود ناکام </w:t>
      </w:r>
      <w:r w:rsidRPr="00C917DC">
        <w:rPr>
          <w:rFonts w:ascii="Arabic Transparent" w:eastAsia="Times New Roman" w:hAnsi="Arabic Transparent" w:cs="Arabic Transparent"/>
          <w:b/>
          <w:bCs/>
          <w:sz w:val="24"/>
          <w:szCs w:val="24"/>
          <w:rtl/>
        </w:rPr>
        <w:lastRenderedPageBreak/>
        <w:t>مي‏ماند" (</w:t>
      </w:r>
      <w:r w:rsidRPr="00C917DC">
        <w:rPr>
          <w:rFonts w:ascii="Arabic Transparent" w:eastAsia="Times New Roman" w:hAnsi="Arabic Transparent" w:cs="Arabic Transparent"/>
          <w:b/>
          <w:bCs/>
          <w:sz w:val="24"/>
          <w:szCs w:val="24"/>
        </w:rPr>
        <w:t>Taylor, 1975: 137</w:t>
      </w:r>
      <w:r w:rsidRPr="00C917DC">
        <w:rPr>
          <w:rFonts w:ascii="Arabic Transparent" w:eastAsia="Times New Roman" w:hAnsi="Arabic Transparent" w:cs="Arabic Transparent"/>
          <w:b/>
          <w:bCs/>
          <w:sz w:val="24"/>
          <w:szCs w:val="24"/>
          <w:rtl/>
        </w:rPr>
        <w:t>). يقين در مورد خود زماني حاصل مي‏شود که نفس خودآگاه توسط يک نفس خودآگاه ديگر به رسميت شناخته شده و مورد تأييد قرار گيرد. اين نکته سرآغاز جدال خدايگان و بنده (</w:t>
      </w:r>
      <w:r w:rsidRPr="00C917DC">
        <w:rPr>
          <w:rFonts w:ascii="Arabic Transparent" w:eastAsia="Times New Roman" w:hAnsi="Arabic Transparent" w:cs="Arabic Transparent"/>
          <w:b/>
          <w:bCs/>
          <w:sz w:val="24"/>
          <w:szCs w:val="24"/>
        </w:rPr>
        <w:t>The dialectic of</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master and slave</w:t>
      </w:r>
      <w:r w:rsidRPr="00C917DC">
        <w:rPr>
          <w:rFonts w:ascii="Arabic Transparent" w:eastAsia="Times New Roman" w:hAnsi="Arabic Transparent" w:cs="Arabic Transparent"/>
          <w:b/>
          <w:bCs/>
          <w:sz w:val="24"/>
          <w:szCs w:val="24"/>
          <w:rtl/>
        </w:rPr>
        <w:t>) در پديدارشناسي هگلي است. البته، در حالي</w:t>
      </w:r>
      <w:r w:rsidRPr="00C917DC">
        <w:rPr>
          <w:rFonts w:ascii="Arabic Transparent" w:eastAsia="Times New Roman" w:hAnsi="Arabic Transparent" w:cs="Arabic Transparent"/>
          <w:b/>
          <w:bCs/>
          <w:sz w:val="24"/>
          <w:szCs w:val="24"/>
          <w:rtl/>
        </w:rPr>
        <w:softHyphen/>
        <w:t>که به رسميت شناختن در نظريه هگل اساساً به معناي تأييد گرفتن است و از طريق منازعه حاصل مي‏شود، از ديدگاه تيلور يک مفهوم اخلاقي است که با کرامت، شرافت و احترام براي هويت فرد ارتباط دارد.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يکي از مشکلات اصلي مفهوم به رسميت شناخته شدن در تيلور آن است که، برخلاف ادعاي وي، نياز به آن از ويژگي گفتگويي زندگي بشري استنباط نمي‏شود. اين حقيقت پديدارشناختي که هويت آدمي از طريق تعامل در شبکه‏هاي هم</w:t>
      </w:r>
      <w:r w:rsidRPr="00C917DC">
        <w:rPr>
          <w:rFonts w:ascii="Arabic Transparent" w:eastAsia="Times New Roman" w:hAnsi="Arabic Transparent" w:cs="Arabic Transparent"/>
          <w:b/>
          <w:bCs/>
          <w:sz w:val="24"/>
          <w:szCs w:val="24"/>
          <w:rtl/>
        </w:rPr>
        <w:softHyphen/>
        <w:t>سخنان (</w:t>
      </w:r>
      <w:r w:rsidRPr="00C917DC">
        <w:rPr>
          <w:rFonts w:ascii="Arabic Transparent" w:eastAsia="Times New Roman" w:hAnsi="Arabic Transparent" w:cs="Arabic Transparent"/>
          <w:b/>
          <w:bCs/>
          <w:sz w:val="24"/>
          <w:szCs w:val="24"/>
        </w:rPr>
        <w:t>webs of</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interlocutors</w:t>
      </w:r>
      <w:r w:rsidRPr="00C917DC">
        <w:rPr>
          <w:rFonts w:ascii="Arabic Transparent" w:eastAsia="Times New Roman" w:hAnsi="Arabic Transparent" w:cs="Arabic Transparent"/>
          <w:b/>
          <w:bCs/>
          <w:sz w:val="24"/>
          <w:szCs w:val="24"/>
          <w:rtl/>
        </w:rPr>
        <w:t>) و با آموختن زبان شکل مي‏گيرد وجود وظيفه</w:t>
      </w:r>
      <w:r w:rsidRPr="00C917DC">
        <w:rPr>
          <w:rFonts w:ascii="Arabic Transparent" w:eastAsia="Times New Roman" w:hAnsi="Arabic Transparent" w:cs="Arabic Transparent"/>
          <w:b/>
          <w:bCs/>
          <w:sz w:val="24"/>
          <w:szCs w:val="24"/>
          <w:rtl/>
        </w:rPr>
        <w:softHyphen/>
        <w:t>اي اخلاقي تحت عنوان به رسميت شناختن را اثبات نمي‏کند. اين وظيفه مستقل از آن ويژگي استعلايي است که طبق آن نظرهاي اخلاقي ما در باب خوب و بد به گونه</w:t>
      </w:r>
      <w:r w:rsidRPr="00C917DC">
        <w:rPr>
          <w:rFonts w:ascii="Arabic Transparent" w:eastAsia="Times New Roman" w:hAnsi="Arabic Transparent" w:cs="Arabic Transparent"/>
          <w:b/>
          <w:bCs/>
          <w:sz w:val="24"/>
          <w:szCs w:val="24"/>
          <w:rtl/>
        </w:rPr>
        <w:softHyphen/>
        <w:t>اي گفت و گويي ساخته شده است.</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گاه تيلور ميان به رسميت شناختن اخلاقي و سياسي يک امر و به رسميت شناختن ارزش يا اهميت آن رابطه برقرار مي‏کند. براي مثال، وي مي‏گويد: هويت فرد، که عبارت است از جنبه‏هاي مهم مميزة وي از ديگران، بايد به رسميت شناخته شود (</w:t>
      </w:r>
      <w:r w:rsidRPr="00C917DC">
        <w:rPr>
          <w:rFonts w:ascii="Arabic Transparent" w:eastAsia="Times New Roman" w:hAnsi="Arabic Transparent" w:cs="Arabic Transparent"/>
          <w:b/>
          <w:bCs/>
          <w:sz w:val="24"/>
          <w:szCs w:val="24"/>
        </w:rPr>
        <w:t>Taylor, 1991</w:t>
      </w:r>
      <w:r w:rsidRPr="00C917DC">
        <w:rPr>
          <w:rFonts w:ascii="Arabic Transparent" w:eastAsia="Times New Roman" w:hAnsi="Arabic Transparent" w:cs="Arabic Transparent"/>
          <w:b/>
          <w:bCs/>
          <w:sz w:val="24"/>
          <w:szCs w:val="24"/>
          <w:rtl/>
        </w:rPr>
        <w:t>: 35-36). البته او اضافه مي‏کند که اين فرد نيست که تصميم مي‏گيرد چه چيزي از اهميت برخوردار است. احتمالاً تيلور در صدد آن است تا بگويد تصديق ارزش يک امر است که به رسميت شناختن آن را به عنوان يک وظيفه اخلاقي و سياسي ضروري مي‏سازد. به عبارت ديگر، آنگاه که امري ارزشمند يا مهم در هويت يک فرد وجود دارد، او مشروعاً مي‏تواند به رسميت شناخته شدن آن را طلب کند. در چنين شرايطي خودداري از به رسميت شناختن يا "به رسميت شناختن نادرست" ممکن است "لطمه</w:t>
      </w:r>
      <w:r w:rsidRPr="00C917DC">
        <w:rPr>
          <w:rFonts w:ascii="Arabic Transparent" w:eastAsia="Times New Roman" w:hAnsi="Arabic Transparent" w:cs="Arabic Transparent"/>
          <w:b/>
          <w:bCs/>
          <w:sz w:val="24"/>
          <w:szCs w:val="24"/>
          <w:rtl/>
        </w:rPr>
        <w:softHyphen/>
        <w:t>اي جدي" به فرد وارد سازد، امري که ما در قبال آن مسؤوليت اخلاقي داريم. با اين حال، ارتباطي که تيلور بين ارزشمند دانستن يک امر و ضرورت به رسميت شناختن آن برقرار مي‏سازد قابل اثبات نيست. ارزش يک امر به خودي خود کافي نيست تا اين وظيفه را براي ديگران ايجاد کند که آن را به رسميت بشناسند. اگر ما امري مهم و ارزشمند در ديگران بيابيم، لزوماً وظيفه</w:t>
      </w:r>
      <w:r w:rsidRPr="00C917DC">
        <w:rPr>
          <w:rFonts w:ascii="Arabic Transparent" w:eastAsia="Times New Roman" w:hAnsi="Arabic Transparent" w:cs="Arabic Transparent"/>
          <w:b/>
          <w:bCs/>
          <w:sz w:val="24"/>
          <w:szCs w:val="24"/>
          <w:rtl/>
        </w:rPr>
        <w:softHyphen/>
        <w:t>اي اخلاقي براي به رسميت شناختن آن نداريم.</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به علاوه، بيان اين که ارزش يا اهميت يک امر مبناي به رسميت شناختن آن است به منزله محدود ساختن وظيفه ما در به رسميت شناختن هويت افراد است، چرا که فرهنگ‏ها ناهمخوان</w:t>
      </w:r>
      <w:r w:rsidRPr="00C917DC">
        <w:rPr>
          <w:rFonts w:ascii="Arabic Transparent" w:eastAsia="Times New Roman" w:hAnsi="Arabic Transparent" w:cs="Arabic Transparent"/>
          <w:b/>
          <w:bCs/>
          <w:sz w:val="24"/>
          <w:szCs w:val="24"/>
          <w:rtl/>
        </w:rPr>
        <w:softHyphen/>
        <w:t>اند. تيلور خود مدعي است که ما نمي‏توانيم آناني را که هيچ</w:t>
      </w:r>
      <w:r w:rsidRPr="00C917DC">
        <w:rPr>
          <w:rFonts w:ascii="Arabic Transparent" w:eastAsia="Times New Roman" w:hAnsi="Arabic Transparent" w:cs="Arabic Transparent"/>
          <w:b/>
          <w:bCs/>
          <w:sz w:val="24"/>
          <w:szCs w:val="24"/>
          <w:rtl/>
        </w:rPr>
        <w:softHyphen/>
        <w:t>يک از شهودهاي بنيادين اخلاقي ما را نمي‏پذيرند، قانع کنيم که اعتقادات ما ارزشمند يا درست است. اگر چنين است ما تنها بايد انتظار به رسميت شناخته شدن از جانب کساني داشته باشيم که حداقل برخي از شهودهاي بنيادين ما را مي‏پذيرند. اعضاي ساير فرهنگ‏ها نمي‏توانند ما را درک کنند و ارزش يا اهميت آن</w:t>
      </w:r>
      <w:r w:rsidRPr="00C917DC">
        <w:rPr>
          <w:rFonts w:ascii="Arabic Transparent" w:eastAsia="Times New Roman" w:hAnsi="Arabic Transparent" w:cs="Arabic Transparent"/>
          <w:b/>
          <w:bCs/>
          <w:sz w:val="24"/>
          <w:szCs w:val="24"/>
          <w:rtl/>
        </w:rPr>
        <w:softHyphen/>
        <w:t>چه هويت ما را تشکيل مي‏دهد دريابند و لذا نمي‏توانند آن را به رسميت بشناسند. متقابلاً ما نيز نمي‏توانيم ارزش هويت آنان را به رسميت بشناسيم، چرا که معيار‏هايي که فرهنگ ما در اختيارمان نهاده است اجازه به رسميت شناختن فرهنگ</w:t>
      </w:r>
      <w:r w:rsidRPr="00C917DC">
        <w:rPr>
          <w:rFonts w:ascii="Arabic Transparent" w:eastAsia="Times New Roman" w:hAnsi="Arabic Transparent" w:cs="Arabic Transparent"/>
          <w:b/>
          <w:bCs/>
          <w:sz w:val="24"/>
          <w:szCs w:val="24"/>
          <w:rtl/>
        </w:rPr>
        <w:softHyphen/>
        <w:t>هاي ناهمخوان را نمي‏دهد. در چنين شرايطي، به رسميت شناختن چيزي جز منت نهادن (</w:t>
      </w:r>
      <w:r w:rsidRPr="00C917DC">
        <w:rPr>
          <w:rFonts w:ascii="Arabic Transparent" w:eastAsia="Times New Roman" w:hAnsi="Arabic Transparent" w:cs="Arabic Transparent"/>
          <w:b/>
          <w:bCs/>
          <w:sz w:val="24"/>
          <w:szCs w:val="24"/>
        </w:rPr>
        <w:t>an act of condescension</w:t>
      </w:r>
      <w:r w:rsidRPr="00C917DC">
        <w:rPr>
          <w:rFonts w:ascii="Arabic Transparent" w:eastAsia="Times New Roman" w:hAnsi="Arabic Transparent" w:cs="Arabic Transparent"/>
          <w:b/>
          <w:bCs/>
          <w:sz w:val="24"/>
          <w:szCs w:val="24"/>
          <w:rtl/>
        </w:rPr>
        <w:t xml:space="preserve">) نيست.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تيلور تأکيد مي‏ورزد که توانايي به رسميت شناختن ارزش شيوه‏‏هاي مختلف زيستن يا فرهنگ‏ها مستلزم وجود مشترکات است (</w:t>
      </w:r>
      <w:r w:rsidRPr="00C917DC">
        <w:rPr>
          <w:rFonts w:ascii="Arabic Transparent" w:eastAsia="Times New Roman" w:hAnsi="Arabic Transparent" w:cs="Arabic Transparent"/>
          <w:b/>
          <w:bCs/>
          <w:sz w:val="24"/>
          <w:szCs w:val="24"/>
        </w:rPr>
        <w:t>Taylor, 1991: 52</w:t>
      </w:r>
      <w:r w:rsidRPr="00C917DC">
        <w:rPr>
          <w:rFonts w:ascii="Arabic Transparent" w:eastAsia="Times New Roman" w:hAnsi="Arabic Transparent" w:cs="Arabic Transparent"/>
          <w:b/>
          <w:bCs/>
          <w:sz w:val="24"/>
          <w:szCs w:val="24"/>
          <w:rtl/>
        </w:rPr>
        <w:t>). اين مشترکات مي‏تواند از طريق "ادغام چشم انداز‏ها" افزايش يابد. ورود معيار‏هاي سنجش از فرهنگ‏هاي ديگر به فرهنگ ما، ما را قادر مي‏سازد تا فرهنگ‏هاي ناهمخوان با فرهنگ خود را درک کنيم و به رسميت بشناسيم. با اين حال، اگرچه ادغام چشم انداز‏ها احتمال آن را که ما بتوانيم ارزشمند بودن فرهنگ‏هاي ديگر را تصديق کنيم مي‏افزايد، اما همچنان محدوديت‏هاي خود را دارا است. ادغام چشم انداز‏ها يک روند</w:t>
      </w:r>
      <w:r w:rsidRPr="00C917DC">
        <w:rPr>
          <w:rFonts w:ascii="Arabic Transparent" w:eastAsia="Times New Roman" w:hAnsi="Arabic Transparent" w:cs="Arabic Transparent"/>
          <w:b/>
          <w:bCs/>
          <w:sz w:val="24"/>
          <w:szCs w:val="24"/>
          <w:rtl/>
        </w:rPr>
        <w:softHyphen/>
        <w:t>شناختي(</w:t>
      </w:r>
      <w:r w:rsidRPr="00C917DC">
        <w:rPr>
          <w:rFonts w:ascii="Arabic Transparent" w:eastAsia="Times New Roman" w:hAnsi="Arabic Transparent" w:cs="Arabic Transparent"/>
          <w:b/>
          <w:bCs/>
          <w:sz w:val="24"/>
          <w:szCs w:val="24"/>
        </w:rPr>
        <w:t>epistemic</w:t>
      </w:r>
      <w:r w:rsidRPr="00C917DC">
        <w:rPr>
          <w:rFonts w:ascii="Arabic Transparent" w:eastAsia="Times New Roman" w:hAnsi="Arabic Transparent" w:cs="Arabic Transparent"/>
          <w:b/>
          <w:bCs/>
          <w:sz w:val="24"/>
          <w:szCs w:val="24"/>
          <w:rtl/>
        </w:rPr>
        <w:t>) است و تضميني وجود ندارد که به هدف خود برسد يا همه چشم انداز‏ها و فرهنگ‏ها را در بر گيرد. لذا گره زدن ضرورت به رسميت شناختن، که يک الزام اخلاقي است، به موفقيت در ادغام چشم انداز‏ها، نه تنها محدودکننده اين ضرورت است، بلکه مضمون اصلي اين ضرورت را نيز مخدوش مي‏کند. چرا که، همان</w:t>
      </w:r>
      <w:r w:rsidRPr="00C917DC">
        <w:rPr>
          <w:rFonts w:ascii="Arabic Transparent" w:eastAsia="Times New Roman" w:hAnsi="Arabic Transparent" w:cs="Arabic Transparent"/>
          <w:b/>
          <w:bCs/>
          <w:sz w:val="24"/>
          <w:szCs w:val="24"/>
          <w:rtl/>
        </w:rPr>
        <w:softHyphen/>
        <w:t>گونه که پس از اين توضيح داده خواهد شد، تقاضاي به رسميت شناخته شدن ريشه در ارزش فرهنگ يا هويت يک فرد ندارد. اين تقاضا اساساً به معناي طلب احترام براي انسان‏ها و هويت آن‏هاست.</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اگرچه گاهي تيلور ضرورت به رسميت شناخت فرهنگ‏ها را موکول به تصديق ارزش يا اهميت</w:t>
      </w:r>
      <w:r w:rsidRPr="00C917DC">
        <w:rPr>
          <w:rFonts w:ascii="Arabic Transparent" w:eastAsia="Times New Roman" w:hAnsi="Arabic Transparent" w:cs="Arabic Transparent"/>
          <w:b/>
          <w:bCs/>
          <w:sz w:val="24"/>
          <w:szCs w:val="24"/>
          <w:rtl/>
        </w:rPr>
        <w:softHyphen/>
        <w:t>شان مي‏سازد، اما يکساني ارزش همه فرهنگ‏ها را نفي مي‏کند. او مي‏گويد فقط مي‏توان به عنوان يک "فرض" (</w:t>
      </w:r>
      <w:r w:rsidRPr="00C917DC">
        <w:rPr>
          <w:rFonts w:ascii="Arabic Transparent" w:eastAsia="Times New Roman" w:hAnsi="Arabic Transparent" w:cs="Arabic Transparent"/>
          <w:b/>
          <w:bCs/>
          <w:sz w:val="24"/>
          <w:szCs w:val="24"/>
        </w:rPr>
        <w:t>presumption</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tl/>
        </w:rPr>
        <w:lastRenderedPageBreak/>
        <w:t>گفت: "همه فرهنگ‏هاي انساني که جامعه</w:t>
      </w:r>
      <w:r w:rsidRPr="00C917DC">
        <w:rPr>
          <w:rFonts w:ascii="Arabic Transparent" w:eastAsia="Times New Roman" w:hAnsi="Arabic Transparent" w:cs="Arabic Transparent"/>
          <w:b/>
          <w:bCs/>
          <w:sz w:val="24"/>
          <w:szCs w:val="24"/>
          <w:rtl/>
        </w:rPr>
        <w:softHyphen/>
        <w:t>هايي را در طول زماني قابل توجه حيات بخشيده</w:t>
      </w:r>
      <w:r w:rsidRPr="00C917DC">
        <w:rPr>
          <w:rFonts w:ascii="Arabic Transparent" w:eastAsia="Times New Roman" w:hAnsi="Arabic Transparent" w:cs="Arabic Transparent"/>
          <w:b/>
          <w:bCs/>
          <w:sz w:val="24"/>
          <w:szCs w:val="24"/>
          <w:rtl/>
        </w:rPr>
        <w:softHyphen/>
        <w:t>اند حرفي مهم براي زدن به همه انسان‏ها دارند". البته اين تنها "يک فرض آغازين براي مطالعه هر فرهنگي است و درستي (يا نادرستي) آن بايد به طور عيني در جريان مطالعه فرهنگ مورد نظر به اثبات برسد" (</w:t>
      </w:r>
      <w:r w:rsidRPr="00C917DC">
        <w:rPr>
          <w:rFonts w:ascii="Arabic Transparent" w:eastAsia="Times New Roman" w:hAnsi="Arabic Transparent" w:cs="Arabic Transparent"/>
          <w:b/>
          <w:bCs/>
          <w:sz w:val="24"/>
          <w:szCs w:val="24"/>
        </w:rPr>
        <w:t>Taylor, 1992: 66 _ 67</w:t>
      </w:r>
      <w:r w:rsidRPr="00C917DC">
        <w:rPr>
          <w:rFonts w:ascii="Arabic Transparent" w:eastAsia="Times New Roman" w:hAnsi="Arabic Transparent" w:cs="Arabic Transparent"/>
          <w:b/>
          <w:bCs/>
          <w:sz w:val="24"/>
          <w:szCs w:val="24"/>
          <w:rtl/>
        </w:rPr>
        <w:t>). به عبارت ديگر، نتيجه مطالعه يک فرهنگ لزوماً اثبات فرض بالا نيست اما, برخلاف ادعاي تيلور، تقاضاي به رسميت شناختن فرهنگ‏هاي ديگر اصولاً به معناي تقاضاي به رسميت شناختن ارزش برابر آن‏ها نيست، بلکه به معني به رسميت شناختن جايگاه برابر(</w:t>
      </w:r>
      <w:r w:rsidRPr="00C917DC">
        <w:rPr>
          <w:rFonts w:ascii="Arabic Transparent" w:eastAsia="Times New Roman" w:hAnsi="Arabic Transparent" w:cs="Arabic Transparent"/>
          <w:b/>
          <w:bCs/>
          <w:sz w:val="24"/>
          <w:szCs w:val="24"/>
        </w:rPr>
        <w:t>equal standing</w:t>
      </w:r>
      <w:r w:rsidRPr="00C917DC">
        <w:rPr>
          <w:rFonts w:ascii="Arabic Transparent" w:eastAsia="Times New Roman" w:hAnsi="Arabic Transparent" w:cs="Arabic Transparent"/>
          <w:b/>
          <w:bCs/>
          <w:sz w:val="24"/>
          <w:szCs w:val="24"/>
          <w:rtl/>
        </w:rPr>
        <w:t>) همه فرهنگ‏ها در جامعه است. نکته مهم برابري موقعيت فرهنگ‏ها و نه ارزش آن‏ها است. آن</w:t>
      </w:r>
      <w:r w:rsidRPr="00C917DC">
        <w:rPr>
          <w:rFonts w:ascii="Arabic Transparent" w:eastAsia="Times New Roman" w:hAnsi="Arabic Transparent" w:cs="Arabic Transparent"/>
          <w:b/>
          <w:bCs/>
          <w:sz w:val="24"/>
          <w:szCs w:val="24"/>
          <w:rtl/>
        </w:rPr>
        <w:softHyphen/>
        <w:t>چه اقليت‏هاي فرهنگي در جامعه</w:t>
      </w:r>
      <w:r w:rsidRPr="00C917DC">
        <w:rPr>
          <w:rFonts w:ascii="Arabic Transparent" w:eastAsia="Times New Roman" w:hAnsi="Arabic Transparent" w:cs="Arabic Transparent"/>
          <w:b/>
          <w:bCs/>
          <w:sz w:val="24"/>
          <w:szCs w:val="24"/>
          <w:rtl/>
        </w:rPr>
        <w:softHyphen/>
        <w:t>هاي غربي خواستار آن هستند اين نيست که مطالعه</w:t>
      </w:r>
      <w:r w:rsidRPr="00C917DC">
        <w:rPr>
          <w:rFonts w:ascii="Arabic Transparent" w:eastAsia="Times New Roman" w:hAnsi="Arabic Transparent" w:cs="Arabic Transparent"/>
          <w:b/>
          <w:bCs/>
          <w:sz w:val="24"/>
          <w:szCs w:val="24"/>
          <w:rtl/>
        </w:rPr>
        <w:softHyphen/>
        <w:t>اي براي اثبات يا رد ارزش فرهنگ</w:t>
      </w:r>
      <w:r w:rsidRPr="00C917DC">
        <w:rPr>
          <w:rFonts w:ascii="Arabic Transparent" w:eastAsia="Times New Roman" w:hAnsi="Arabic Transparent" w:cs="Arabic Transparent"/>
          <w:b/>
          <w:bCs/>
          <w:sz w:val="24"/>
          <w:szCs w:val="24"/>
          <w:rtl/>
        </w:rPr>
        <w:softHyphen/>
        <w:t>شان، يا حتي برابري اين ارزش با ارزش ساير فرهنگ‏ها، انجام گيرد. بنابراين موکول کردن ضرورت به رسميت شناختن يک فرهنگ، به عنوان يک الزام اخلاقي، به تصديق ارزش آن، تصوير نادرستي را از تقاضاي به رسميت شناخته شدن ارائه مي‏کند. همان گونه که "سوزان ولف" يادآوري مي‏کند، تقاضاي اقليت‏هاي تحت انقياد در جامعه</w:t>
      </w:r>
      <w:r w:rsidRPr="00C917DC">
        <w:rPr>
          <w:rFonts w:ascii="Arabic Transparent" w:eastAsia="Times New Roman" w:hAnsi="Arabic Transparent" w:cs="Arabic Transparent"/>
          <w:b/>
          <w:bCs/>
          <w:sz w:val="24"/>
          <w:szCs w:val="24"/>
          <w:rtl/>
        </w:rPr>
        <w:softHyphen/>
        <w:t>هاي غربي، به ويژه آمريکا، براي تغيير تصوير موجود در جامعه از فرهنگ</w:t>
      </w:r>
      <w:r w:rsidRPr="00C917DC">
        <w:rPr>
          <w:rFonts w:ascii="Arabic Transparent" w:eastAsia="Times New Roman" w:hAnsi="Arabic Transparent" w:cs="Arabic Transparent"/>
          <w:b/>
          <w:bCs/>
          <w:sz w:val="24"/>
          <w:szCs w:val="24"/>
          <w:rtl/>
        </w:rPr>
        <w:softHyphen/>
        <w:t>شان و گنجانيدن آثار نويسندگان بومي ‏آنان در كتاب</w:t>
      </w:r>
      <w:r w:rsidRPr="00C917DC">
        <w:rPr>
          <w:rFonts w:ascii="Arabic Transparent" w:eastAsia="Times New Roman" w:hAnsi="Arabic Transparent" w:cs="Arabic Transparent"/>
          <w:b/>
          <w:bCs/>
          <w:sz w:val="24"/>
          <w:szCs w:val="24"/>
          <w:rtl/>
        </w:rPr>
        <w:softHyphen/>
        <w:t>هاي درسي, به آن سبب نيست که فرهنگ آنان از ارزشي معادل ارزش فرهنگ غالب برخوردار است، بلکه بر آن استوار است که اين فرهنگ و آن نويسندگان به آن مردم تعلق دارند (</w:t>
      </w:r>
      <w:r w:rsidRPr="00C917DC">
        <w:rPr>
          <w:rFonts w:ascii="Arabic Transparent" w:eastAsia="Times New Roman" w:hAnsi="Arabic Transparent" w:cs="Arabic Transparent"/>
          <w:b/>
          <w:bCs/>
          <w:sz w:val="24"/>
          <w:szCs w:val="24"/>
        </w:rPr>
        <w:t>Wolf, 1992: 81 and 85</w:t>
      </w:r>
      <w:r w:rsidRPr="00C917DC">
        <w:rPr>
          <w:rFonts w:ascii="Arabic Transparent" w:eastAsia="Times New Roman" w:hAnsi="Arabic Transparent" w:cs="Arabic Transparent"/>
          <w:b/>
          <w:bCs/>
          <w:sz w:val="24"/>
          <w:szCs w:val="24"/>
          <w:rtl/>
        </w:rPr>
        <w:t>). نکته مهم آن است که گروهي از مردم وجود دارند که به ارزش يک فرهنگ باور دارند و اين فرهنگ به زندگي</w:t>
      </w:r>
      <w:r w:rsidRPr="00C917DC">
        <w:rPr>
          <w:rFonts w:ascii="Arabic Transparent" w:eastAsia="Times New Roman" w:hAnsi="Arabic Transparent" w:cs="Arabic Transparent"/>
          <w:b/>
          <w:bCs/>
          <w:sz w:val="24"/>
          <w:szCs w:val="24"/>
          <w:rtl/>
        </w:rPr>
        <w:softHyphen/>
        <w:t>شان معني مي‏بخشد.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بايد يادآوري كرد که به رسميت شناختن، به عنوان يک وظيفه اخلاقي، ممکن است به شکل‏هاي مختلف صورت گيرد، بسته به آن</w:t>
      </w:r>
      <w:r w:rsidRPr="00C917DC">
        <w:rPr>
          <w:rFonts w:ascii="Arabic Transparent" w:eastAsia="Times New Roman" w:hAnsi="Arabic Transparent" w:cs="Arabic Transparent"/>
          <w:b/>
          <w:bCs/>
          <w:sz w:val="24"/>
          <w:szCs w:val="24"/>
          <w:rtl/>
        </w:rPr>
        <w:softHyphen/>
        <w:t>که چه چيزي بايد به رسميت شناخته شود و از چه کسي انتظار به رسميت شناختن مي‏رود. اين تنوع توسط تيلور ناديده گرفته شده است، زيرا همان</w:t>
      </w:r>
      <w:r w:rsidRPr="00C917DC">
        <w:rPr>
          <w:rFonts w:ascii="Arabic Transparent" w:eastAsia="Times New Roman" w:hAnsi="Arabic Transparent" w:cs="Arabic Transparent"/>
          <w:b/>
          <w:bCs/>
          <w:sz w:val="24"/>
          <w:szCs w:val="24"/>
          <w:rtl/>
        </w:rPr>
        <w:softHyphen/>
        <w:t>گونه که پيش</w:t>
      </w:r>
      <w:r w:rsidRPr="00C917DC">
        <w:rPr>
          <w:rFonts w:ascii="Arabic Transparent" w:eastAsia="Times New Roman" w:hAnsi="Arabic Transparent" w:cs="Arabic Transparent"/>
          <w:b/>
          <w:bCs/>
          <w:sz w:val="24"/>
          <w:szCs w:val="24"/>
          <w:rtl/>
        </w:rPr>
        <w:softHyphen/>
        <w:t>تر يادآور شديم، او از درک پيچيدگي و تنوع ابعاد مختلف هويت غفلت مي‏ورزد. هويت از لايه‏ها و اجزاي مختلفي تشکيل شده است که هر كدام مستلزم شکل خاصي از به رسميت شناخته شدن توسط گروهي خاص از مردم است. ما معمولاً در پي آن نيستيم که هر آن</w:t>
      </w:r>
      <w:r w:rsidRPr="00C917DC">
        <w:rPr>
          <w:rFonts w:ascii="Arabic Transparent" w:eastAsia="Times New Roman" w:hAnsi="Arabic Transparent" w:cs="Arabic Transparent"/>
          <w:b/>
          <w:bCs/>
          <w:sz w:val="24"/>
          <w:szCs w:val="24"/>
          <w:rtl/>
        </w:rPr>
        <w:softHyphen/>
        <w:t>چه داريم توسط هر کس ديگر به رسميت شناخته شود. همه افراد نيز وظيفه ندارند که همه ابعاد هويت ما را به رسميت بشناسند. طلب به رسميت شناخته شدن همواره با ادعاي عضويت در يک گروه همراه است و در نتيجه اين طلب از گروهي درخواست مي‏شود که ما به آن</w:t>
      </w:r>
      <w:r w:rsidRPr="00C917DC">
        <w:rPr>
          <w:rFonts w:ascii="Arabic Transparent" w:eastAsia="Times New Roman" w:hAnsi="Arabic Transparent" w:cs="Arabic Transparent"/>
          <w:b/>
          <w:bCs/>
          <w:sz w:val="24"/>
          <w:szCs w:val="24"/>
          <w:rtl/>
        </w:rPr>
        <w:softHyphen/>
        <w:t>ها احساس تعلق مي‏کنيم. خانواده، جامعه</w:t>
      </w:r>
      <w:r w:rsidRPr="00C917DC">
        <w:rPr>
          <w:rFonts w:ascii="Arabic Transparent" w:eastAsia="Times New Roman" w:hAnsi="Arabic Transparent" w:cs="Arabic Transparent"/>
          <w:b/>
          <w:bCs/>
          <w:sz w:val="24"/>
          <w:szCs w:val="24"/>
          <w:rtl/>
        </w:rPr>
        <w:softHyphen/>
        <w:t>هاي محلي، حرفه</w:t>
      </w:r>
      <w:r w:rsidRPr="00C917DC">
        <w:rPr>
          <w:rFonts w:ascii="Arabic Transparent" w:eastAsia="Times New Roman" w:hAnsi="Arabic Transparent" w:cs="Arabic Transparent"/>
          <w:b/>
          <w:bCs/>
          <w:sz w:val="24"/>
          <w:szCs w:val="24"/>
          <w:rtl/>
        </w:rPr>
        <w:softHyphen/>
        <w:t>اي و مذهبي، قوم، ملت و در نهايت, جامعه بزرگ انساني همه گروه‏هايي هستند که ما به رسميت شناختن جنبه‏هاي مختلف هويت</w:t>
      </w:r>
      <w:r w:rsidRPr="00C917DC">
        <w:rPr>
          <w:rFonts w:ascii="Arabic Transparent" w:eastAsia="Times New Roman" w:hAnsi="Arabic Transparent" w:cs="Arabic Transparent"/>
          <w:b/>
          <w:bCs/>
          <w:sz w:val="24"/>
          <w:szCs w:val="24"/>
          <w:rtl/>
        </w:rPr>
        <w:softHyphen/>
        <w:t>مان را از آن‏ها طلب مي‏کنيم. اعضاي يک گروه ممکن است نياز يکساني به, به رسميت شناخته شدن احساس نکنند. مثلاً يک فرد مذهبي ممکن است اهميت اندکي به قوميت خود بدهد و گاهي به رسميت شناخته شدن قوميتش اصلاً براي وي مهم نيست، در حالي</w:t>
      </w:r>
      <w:r w:rsidRPr="00C917DC">
        <w:rPr>
          <w:rFonts w:ascii="Arabic Transparent" w:eastAsia="Times New Roman" w:hAnsi="Arabic Transparent" w:cs="Arabic Transparent"/>
          <w:b/>
          <w:bCs/>
          <w:sz w:val="24"/>
          <w:szCs w:val="24"/>
          <w:rtl/>
        </w:rPr>
        <w:softHyphen/>
        <w:t>که يک فرد قوميت</w:t>
      </w:r>
      <w:r w:rsidRPr="00C917DC">
        <w:rPr>
          <w:rFonts w:ascii="Arabic Transparent" w:eastAsia="Times New Roman" w:hAnsi="Arabic Transparent" w:cs="Arabic Transparent"/>
          <w:b/>
          <w:bCs/>
          <w:sz w:val="24"/>
          <w:szCs w:val="24"/>
          <w:rtl/>
        </w:rPr>
        <w:softHyphen/>
        <w:t>گرا به رسميت شناخته شدن قوميتش را يک امر مهم هويتي مي‏شمرد. به علاوه، ما در پي آن نيستيم که برخي از خصوصيات شخصي</w:t>
      </w:r>
      <w:r w:rsidRPr="00C917DC">
        <w:rPr>
          <w:rFonts w:ascii="Arabic Transparent" w:eastAsia="Times New Roman" w:hAnsi="Arabic Transparent" w:cs="Arabic Transparent"/>
          <w:b/>
          <w:bCs/>
          <w:sz w:val="24"/>
          <w:szCs w:val="24"/>
          <w:rtl/>
        </w:rPr>
        <w:softHyphen/>
        <w:t>مان در عرصه عمومي جامعه به رسميت شناخته شود، هر چند که اين خصوصيات را بسيار گرامي مي‏داريم و آن‏ها را کمتر از آن بخش از ابعاد هويت</w:t>
      </w:r>
      <w:r w:rsidRPr="00C917DC">
        <w:rPr>
          <w:rFonts w:ascii="Arabic Transparent" w:eastAsia="Times New Roman" w:hAnsi="Arabic Transparent" w:cs="Arabic Transparent"/>
          <w:b/>
          <w:bCs/>
          <w:sz w:val="24"/>
          <w:szCs w:val="24"/>
          <w:rtl/>
        </w:rPr>
        <w:softHyphen/>
        <w:t>مان که بر به رسميت شناخته شدن</w:t>
      </w:r>
      <w:r w:rsidRPr="00C917DC">
        <w:rPr>
          <w:rFonts w:ascii="Arabic Transparent" w:eastAsia="Times New Roman" w:hAnsi="Arabic Transparent" w:cs="Arabic Transparent"/>
          <w:b/>
          <w:bCs/>
          <w:sz w:val="24"/>
          <w:szCs w:val="24"/>
          <w:rtl/>
        </w:rPr>
        <w:softHyphen/>
        <w:t>شان اصرار داريم نمي‏پنداريم. اين تنوع در مفهوم به رسميت شناختن مشخص مي‏سازد که پيروي از يک مدل واحد، مثل به رسميت شناختن به شيوه سياسي يا حقوقي[9]، پاسخگوي نياز تمامي ابعاد هويت انسان به, به رسميت شناخته شدن نيست.</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از بحث</w:t>
      </w:r>
      <w:r w:rsidRPr="00C917DC">
        <w:rPr>
          <w:rFonts w:ascii="Arabic Transparent" w:eastAsia="Times New Roman" w:hAnsi="Arabic Transparent" w:cs="Arabic Transparent"/>
          <w:b/>
          <w:bCs/>
          <w:sz w:val="24"/>
          <w:szCs w:val="24"/>
          <w:rtl/>
        </w:rPr>
        <w:softHyphen/>
        <w:t>هاي اين بخش مي‏توان نتيجه گرفت که فرهنگ، قوام بخش(</w:t>
      </w:r>
      <w:r w:rsidRPr="00C917DC">
        <w:rPr>
          <w:rFonts w:ascii="Arabic Transparent" w:eastAsia="Times New Roman" w:hAnsi="Arabic Transparent" w:cs="Arabic Transparent"/>
          <w:b/>
          <w:bCs/>
          <w:sz w:val="24"/>
          <w:szCs w:val="24"/>
        </w:rPr>
        <w:t>constitutive</w:t>
      </w:r>
      <w:r w:rsidRPr="00C917DC">
        <w:rPr>
          <w:rFonts w:ascii="Arabic Transparent" w:eastAsia="Times New Roman" w:hAnsi="Arabic Transparent" w:cs="Arabic Transparent"/>
          <w:b/>
          <w:bCs/>
          <w:sz w:val="24"/>
          <w:szCs w:val="24"/>
          <w:rtl/>
        </w:rPr>
        <w:t>) هويت و خويشتن بودن اشخاص است. درخواست به رسميت شناخته شدن, يک طلب اخلاقي است، اگرچه تيلور اثبات نمي‏کند که اين خواسته نتيجه منطقي آن چيزي است که وي شيوه گفت و گويي شکل</w:t>
      </w:r>
      <w:r w:rsidRPr="00C917DC">
        <w:rPr>
          <w:rFonts w:ascii="Arabic Transparent" w:eastAsia="Times New Roman" w:hAnsi="Arabic Transparent" w:cs="Arabic Transparent"/>
          <w:b/>
          <w:bCs/>
          <w:sz w:val="24"/>
          <w:szCs w:val="24"/>
          <w:rtl/>
        </w:rPr>
        <w:softHyphen/>
        <w:t>گيري هويت مي‏خواند. اين خواست اخلاقي مستقل از ويژگي گفت و گويي زندگي بشري است. به رسميت شناختن وظيفه</w:t>
      </w:r>
      <w:r w:rsidRPr="00C917DC">
        <w:rPr>
          <w:rFonts w:ascii="Arabic Transparent" w:eastAsia="Times New Roman" w:hAnsi="Arabic Transparent" w:cs="Arabic Transparent"/>
          <w:b/>
          <w:bCs/>
          <w:sz w:val="24"/>
          <w:szCs w:val="24"/>
          <w:rtl/>
        </w:rPr>
        <w:softHyphen/>
        <w:t>اي است که ما نسبت به انسان‏ها داريم. البته، با توجه به نقشي که فرهنگ‏ها در قوام بخشيدن به هويت آدمي ‏دارند، يک بعد ديگر به اين وظيفه افزوده مي‏شود و آن به رسميت شناختن فرهنگ‏ها و تفاوت‏‏هاي فرهنگي است. تأکيد بر اين</w:t>
      </w:r>
      <w:r w:rsidRPr="00C917DC">
        <w:rPr>
          <w:rFonts w:ascii="Arabic Transparent" w:eastAsia="Times New Roman" w:hAnsi="Arabic Transparent" w:cs="Arabic Transparent"/>
          <w:b/>
          <w:bCs/>
          <w:sz w:val="24"/>
          <w:szCs w:val="24"/>
          <w:rtl/>
        </w:rPr>
        <w:softHyphen/>
        <w:t>که وظيفه اصلي ما نسبت به انسان‏ها است و نه نسبت به فرهنگ‏ها, به آن سبب مهم است که دنبال کردن منطق تيلور اين نتيجه را در بر دارد که هويت اشخاص و ديدگاه‏هاي اخلاقي</w:t>
      </w:r>
      <w:r w:rsidRPr="00C917DC">
        <w:rPr>
          <w:rFonts w:ascii="Arabic Transparent" w:eastAsia="Times New Roman" w:hAnsi="Arabic Transparent" w:cs="Arabic Transparent"/>
          <w:b/>
          <w:bCs/>
          <w:sz w:val="24"/>
          <w:szCs w:val="24"/>
          <w:rtl/>
        </w:rPr>
        <w:softHyphen/>
        <w:t>شان، هر چه که باشند، بايد به رسميت شناخته شوند. در حالي</w:t>
      </w:r>
      <w:r w:rsidRPr="00C917DC">
        <w:rPr>
          <w:rFonts w:ascii="Arabic Transparent" w:eastAsia="Times New Roman" w:hAnsi="Arabic Transparent" w:cs="Arabic Transparent"/>
          <w:b/>
          <w:bCs/>
          <w:sz w:val="24"/>
          <w:szCs w:val="24"/>
          <w:rtl/>
        </w:rPr>
        <w:softHyphen/>
        <w:t>که اگر به رسميت شناختن وظيفه</w:t>
      </w:r>
      <w:r w:rsidRPr="00C917DC">
        <w:rPr>
          <w:rFonts w:ascii="Arabic Transparent" w:eastAsia="Times New Roman" w:hAnsi="Arabic Transparent" w:cs="Arabic Transparent"/>
          <w:b/>
          <w:bCs/>
          <w:sz w:val="24"/>
          <w:szCs w:val="24"/>
          <w:rtl/>
        </w:rPr>
        <w:softHyphen/>
        <w:t>اي نسبت به انسان‏ها باشد، مواردي را که به نقض بنيادين حقوق انسان‏ها مي‏انجامند در بر نخواهد گرفت و اين نکته</w:t>
      </w:r>
      <w:r w:rsidRPr="00C917DC">
        <w:rPr>
          <w:rFonts w:ascii="Arabic Transparent" w:eastAsia="Times New Roman" w:hAnsi="Arabic Transparent" w:cs="Arabic Transparent"/>
          <w:b/>
          <w:bCs/>
          <w:sz w:val="24"/>
          <w:szCs w:val="24"/>
          <w:rtl/>
        </w:rPr>
        <w:softHyphen/>
        <w:t>اي است که تيلور خود نيز با آن موافق است.</w:t>
      </w:r>
    </w:p>
    <w:p w:rsidR="00C917DC" w:rsidRPr="00C917DC" w:rsidRDefault="00C917DC" w:rsidP="00C917D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917DC">
        <w:rPr>
          <w:rFonts w:ascii="Arabic Transparent" w:eastAsia="Times New Roman" w:hAnsi="Arabic Transparent" w:cs="Arabic Transparent"/>
          <w:b/>
          <w:bCs/>
          <w:sz w:val="27"/>
          <w:szCs w:val="27"/>
          <w:rtl/>
        </w:rPr>
        <w:t>3_ سياست به رسميت شناختن تفاوت‏‏هاي فرهنگي</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lastRenderedPageBreak/>
        <w:t>تيلور عنوان مي‏کند که اهميت حياتي به رسميت شناخته شدن، که از ارتباط نزديک شکل</w:t>
      </w:r>
      <w:r w:rsidRPr="00C917DC">
        <w:rPr>
          <w:rFonts w:ascii="Arabic Transparent" w:eastAsia="Times New Roman" w:hAnsi="Arabic Transparent" w:cs="Arabic Transparent"/>
          <w:b/>
          <w:bCs/>
          <w:sz w:val="24"/>
          <w:szCs w:val="24"/>
          <w:rtl/>
        </w:rPr>
        <w:softHyphen/>
        <w:t>گيري هويت اشخاص با اين درخواست اخلاقي ناشي مي‏شود، سياست به رسميت شناختن تفاوت‏‏هاي فرهنگي را ضروري مي‏سازد (</w:t>
      </w:r>
      <w:r w:rsidRPr="00C917DC">
        <w:rPr>
          <w:rFonts w:ascii="Arabic Transparent" w:eastAsia="Times New Roman" w:hAnsi="Arabic Transparent" w:cs="Arabic Transparent"/>
          <w:b/>
          <w:bCs/>
          <w:sz w:val="24"/>
          <w:szCs w:val="24"/>
        </w:rPr>
        <w:t>Taylor, 1992: 25</w:t>
      </w:r>
      <w:r w:rsidRPr="00C917DC">
        <w:rPr>
          <w:rFonts w:ascii="Arabic Transparent" w:eastAsia="Times New Roman" w:hAnsi="Arabic Transparent" w:cs="Arabic Transparent"/>
          <w:b/>
          <w:bCs/>
          <w:sz w:val="24"/>
          <w:szCs w:val="24"/>
          <w:rtl/>
        </w:rPr>
        <w:t>). "سياست به رسميت شناختن برابري جويانه"(</w:t>
      </w:r>
      <w:r w:rsidRPr="00C917DC">
        <w:rPr>
          <w:rFonts w:ascii="Arabic Transparent" w:eastAsia="Times New Roman" w:hAnsi="Arabic Transparent" w:cs="Arabic Transparent"/>
          <w:b/>
          <w:bCs/>
          <w:sz w:val="24"/>
          <w:szCs w:val="24"/>
        </w:rPr>
        <w:t>the politics of equal recognition</w:t>
      </w:r>
      <w:r w:rsidRPr="00C917DC">
        <w:rPr>
          <w:rFonts w:ascii="Arabic Transparent" w:eastAsia="Times New Roman" w:hAnsi="Arabic Transparent" w:cs="Arabic Transparent"/>
          <w:b/>
          <w:bCs/>
          <w:sz w:val="24"/>
          <w:szCs w:val="24"/>
          <w:rtl/>
        </w:rPr>
        <w:t xml:space="preserve">) دو نوع متفاوت از سياست را مي‏تواند به دنبال آورد: "سياست تکريم برابر" ( </w:t>
      </w:r>
      <w:r w:rsidRPr="00C917DC">
        <w:rPr>
          <w:rFonts w:ascii="Arabic Transparent" w:eastAsia="Times New Roman" w:hAnsi="Arabic Transparent" w:cs="Arabic Transparent"/>
          <w:b/>
          <w:bCs/>
          <w:sz w:val="24"/>
          <w:szCs w:val="24"/>
        </w:rPr>
        <w:t>the politics of equal dignity</w:t>
      </w:r>
      <w:r w:rsidRPr="00C917DC">
        <w:rPr>
          <w:rFonts w:ascii="Arabic Transparent" w:eastAsia="Times New Roman" w:hAnsi="Arabic Transparent" w:cs="Arabic Transparent"/>
          <w:b/>
          <w:bCs/>
          <w:sz w:val="24"/>
          <w:szCs w:val="24"/>
          <w:rtl/>
        </w:rPr>
        <w:t>) و "سياست (پذيرش) تفاوت‏ها" (</w:t>
      </w:r>
      <w:r w:rsidRPr="00C917DC">
        <w:rPr>
          <w:rFonts w:ascii="Arabic Transparent" w:eastAsia="Times New Roman" w:hAnsi="Arabic Transparent" w:cs="Arabic Transparent"/>
          <w:b/>
          <w:bCs/>
          <w:sz w:val="24"/>
          <w:szCs w:val="24"/>
        </w:rPr>
        <w:t>the politics of difference</w:t>
      </w:r>
      <w:r w:rsidRPr="00C917DC">
        <w:rPr>
          <w:rFonts w:ascii="Arabic Transparent" w:eastAsia="Times New Roman" w:hAnsi="Arabic Transparent" w:cs="Arabic Transparent"/>
          <w:b/>
          <w:bCs/>
          <w:sz w:val="24"/>
          <w:szCs w:val="24"/>
          <w:rtl/>
        </w:rPr>
        <w:t>). نوع اول سياست، محصول ليبراليسم معطوف به روش(</w:t>
      </w:r>
      <w:r w:rsidRPr="00C917DC">
        <w:rPr>
          <w:rFonts w:ascii="Arabic Transparent" w:eastAsia="Times New Roman" w:hAnsi="Arabic Transparent" w:cs="Arabic Transparent"/>
          <w:b/>
          <w:bCs/>
          <w:sz w:val="24"/>
          <w:szCs w:val="24"/>
        </w:rPr>
        <w:t>procedural liberalism</w:t>
      </w:r>
      <w:r w:rsidRPr="00C917DC">
        <w:rPr>
          <w:rFonts w:ascii="Arabic Transparent" w:eastAsia="Times New Roman" w:hAnsi="Arabic Transparent" w:cs="Arabic Transparent"/>
          <w:b/>
          <w:bCs/>
          <w:sz w:val="24"/>
          <w:szCs w:val="24"/>
          <w:rtl/>
        </w:rPr>
        <w:t>) است که حقوقي برابر براي همه شهروندان قائل است و مستلزم آن است که در رفتار با مردم تفاوت‏‏هاي آنان ناديده انگاشته شود. ليبراليسم معطوف به روش, همه تفاوت‏ها (اعم از تفاوت‏‏هاي فرهنگي، قوميتي، مذهبي يا سليقه</w:t>
      </w:r>
      <w:r w:rsidRPr="00C917DC">
        <w:rPr>
          <w:rFonts w:ascii="Arabic Transparent" w:eastAsia="Times New Roman" w:hAnsi="Arabic Transparent" w:cs="Arabic Transparent"/>
          <w:b/>
          <w:bCs/>
          <w:sz w:val="24"/>
          <w:szCs w:val="24"/>
          <w:rtl/>
        </w:rPr>
        <w:softHyphen/>
        <w:t>هاي شخصي و ديدگاه‏هاي مربوط به نحوة داشتن يک زندگي سعادت</w:t>
      </w:r>
      <w:r w:rsidRPr="00C917DC">
        <w:rPr>
          <w:rFonts w:ascii="Arabic Transparent" w:eastAsia="Times New Roman" w:hAnsi="Arabic Transparent" w:cs="Arabic Transparent"/>
          <w:b/>
          <w:bCs/>
          <w:sz w:val="24"/>
          <w:szCs w:val="24"/>
          <w:rtl/>
        </w:rPr>
        <w:softHyphen/>
        <w:t xml:space="preserve"> آميز) را به حوزه خصوصي زندگي حوالت مي‏دهد و توجه به آن</w:t>
      </w:r>
      <w:r w:rsidRPr="00C917DC">
        <w:rPr>
          <w:rFonts w:ascii="Arabic Transparent" w:eastAsia="Times New Roman" w:hAnsi="Arabic Transparent" w:cs="Arabic Transparent"/>
          <w:b/>
          <w:bCs/>
          <w:sz w:val="24"/>
          <w:szCs w:val="24"/>
          <w:rtl/>
        </w:rPr>
        <w:softHyphen/>
        <w:t>ها را از دستور کار دولت‏ها خارج مي‏كند. برخي منتقدان معتقدند ناديده انگاري تفاوت‏ها به اين شيوه نفي كننده هويت افراد است، زيرا آن‏ها در قالب‏هاي مشابهي گذاشته مي‏شوند که با هويتشان ناسازگار است. به علاوه، ليبراليسمي ‏که تفاوت‏ها را ناديده مي‏انگارد (</w:t>
      </w:r>
      <w:r w:rsidRPr="00C917DC">
        <w:rPr>
          <w:rFonts w:ascii="Arabic Transparent" w:eastAsia="Times New Roman" w:hAnsi="Arabic Transparent" w:cs="Arabic Transparent"/>
          <w:b/>
          <w:bCs/>
          <w:sz w:val="24"/>
          <w:szCs w:val="24"/>
        </w:rPr>
        <w:t>difference-blind liberalism</w:t>
      </w:r>
      <w:r w:rsidRPr="00C917DC">
        <w:rPr>
          <w:rFonts w:ascii="Arabic Transparent" w:eastAsia="Times New Roman" w:hAnsi="Arabic Transparent" w:cs="Arabic Transparent"/>
          <w:b/>
          <w:bCs/>
          <w:sz w:val="24"/>
          <w:szCs w:val="24"/>
          <w:rtl/>
        </w:rPr>
        <w:t>) نماينده يک فرهنگ سلطه</w:t>
      </w:r>
      <w:r w:rsidRPr="00C917DC">
        <w:rPr>
          <w:rFonts w:ascii="Arabic Transparent" w:eastAsia="Times New Roman" w:hAnsi="Arabic Transparent" w:cs="Arabic Transparent"/>
          <w:b/>
          <w:bCs/>
          <w:sz w:val="24"/>
          <w:szCs w:val="24"/>
          <w:rtl/>
        </w:rPr>
        <w:softHyphen/>
        <w:t>جو و لاجرم تبعيض آميز است (</w:t>
      </w:r>
      <w:r w:rsidRPr="00C917DC">
        <w:rPr>
          <w:rFonts w:ascii="Arabic Transparent" w:eastAsia="Times New Roman" w:hAnsi="Arabic Transparent" w:cs="Arabic Transparent"/>
          <w:b/>
          <w:bCs/>
          <w:sz w:val="24"/>
          <w:szCs w:val="24"/>
        </w:rPr>
        <w:t>Taylor, 1992: 43-44</w:t>
      </w:r>
      <w:r w:rsidRPr="00C917DC">
        <w:rPr>
          <w:rFonts w:ascii="Arabic Transparent" w:eastAsia="Times New Roman" w:hAnsi="Arabic Transparent" w:cs="Arabic Transparent"/>
          <w:b/>
          <w:bCs/>
          <w:sz w:val="24"/>
          <w:szCs w:val="24"/>
          <w:rtl/>
        </w:rPr>
        <w:t>). تيلور نتيجه مي‏گيرد که "سياست تکريم برابر", که توسط ليبراليسم معطوف به روش تجويز مي‏شود, پذيراي تفاوت‏‏هاي فرهنگي نيست و شيوه</w:t>
      </w:r>
      <w:r w:rsidRPr="00C917DC">
        <w:rPr>
          <w:rFonts w:ascii="Arabic Transparent" w:eastAsia="Times New Roman" w:hAnsi="Arabic Transparent" w:cs="Arabic Transparent"/>
          <w:b/>
          <w:bCs/>
          <w:sz w:val="24"/>
          <w:szCs w:val="24"/>
          <w:rtl/>
        </w:rPr>
        <w:softHyphen/>
        <w:t>اي بسيار محدود کننده را در به رسميت شناختن هويت‏هاي متفاوت فرهنگي در پي مي‏گيرد. اين به آن سبب است که ليبراليسم معطوف به روش اولاً خوا‏هان اجراي يکسان قانون, و به ويژه حقوق افراد است و ثانياً نسبت به پيگيري هدف</w:t>
      </w:r>
      <w:r w:rsidRPr="00C917DC">
        <w:rPr>
          <w:rFonts w:ascii="Arabic Transparent" w:eastAsia="Times New Roman" w:hAnsi="Arabic Transparent" w:cs="Arabic Transparent"/>
          <w:b/>
          <w:bCs/>
          <w:sz w:val="24"/>
          <w:szCs w:val="24"/>
          <w:rtl/>
        </w:rPr>
        <w:softHyphen/>
        <w:t>هاي جمع</w:t>
      </w:r>
      <w:r w:rsidRPr="00C917DC">
        <w:rPr>
          <w:rFonts w:ascii="Arabic Transparent" w:eastAsia="Times New Roman" w:hAnsi="Arabic Transparent" w:cs="Arabic Transparent"/>
          <w:b/>
          <w:bCs/>
          <w:sz w:val="24"/>
          <w:szCs w:val="24"/>
          <w:rtl/>
        </w:rPr>
        <w:softHyphen/>
        <w:t>گرايانه(</w:t>
      </w:r>
      <w:r w:rsidRPr="00C917DC">
        <w:rPr>
          <w:rFonts w:ascii="Arabic Transparent" w:eastAsia="Times New Roman" w:hAnsi="Arabic Transparent" w:cs="Arabic Transparent"/>
          <w:b/>
          <w:bCs/>
          <w:sz w:val="24"/>
          <w:szCs w:val="24"/>
        </w:rPr>
        <w:t>collective</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goals</w:t>
      </w:r>
      <w:r w:rsidRPr="00C917DC">
        <w:rPr>
          <w:rFonts w:ascii="Arabic Transparent" w:eastAsia="Times New Roman" w:hAnsi="Arabic Transparent" w:cs="Arabic Transparent"/>
          <w:b/>
          <w:bCs/>
          <w:sz w:val="24"/>
          <w:szCs w:val="24"/>
          <w:rtl/>
        </w:rPr>
        <w:t>)، مانند تلاش براي بقاي يک جامعه[10] يا فرهنگ خاص، سوء ظن دارد (</w:t>
      </w:r>
      <w:r w:rsidRPr="00C917DC">
        <w:rPr>
          <w:rFonts w:ascii="Arabic Transparent" w:eastAsia="Times New Roman" w:hAnsi="Arabic Transparent" w:cs="Arabic Transparent"/>
          <w:b/>
          <w:bCs/>
          <w:sz w:val="24"/>
          <w:szCs w:val="24"/>
        </w:rPr>
        <w:t>Taylor</w:t>
      </w:r>
      <w:r w:rsidRPr="00C917DC">
        <w:rPr>
          <w:rFonts w:ascii="Arabic Transparent" w:eastAsia="Times New Roman" w:hAnsi="Arabic Transparent" w:cs="Arabic Transparent"/>
          <w:b/>
          <w:bCs/>
          <w:sz w:val="24"/>
          <w:szCs w:val="24"/>
          <w:rtl/>
        </w:rPr>
        <w:t xml:space="preserve">, 1992: 60-61).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اما نوع دوم سياست، يعني سياست پذيرش تفاوت‏ها، خواستار به رسميت شناخته شدن "هويت يگانة"(</w:t>
      </w:r>
      <w:r w:rsidRPr="00C917DC">
        <w:rPr>
          <w:rFonts w:ascii="Arabic Transparent" w:eastAsia="Times New Roman" w:hAnsi="Arabic Transparent" w:cs="Arabic Transparent"/>
          <w:b/>
          <w:bCs/>
          <w:sz w:val="24"/>
          <w:szCs w:val="24"/>
        </w:rPr>
        <w:t>unique identity</w:t>
      </w:r>
      <w:r w:rsidRPr="00C917DC">
        <w:rPr>
          <w:rFonts w:ascii="Arabic Transparent" w:eastAsia="Times New Roman" w:hAnsi="Arabic Transparent" w:cs="Arabic Transparent"/>
          <w:b/>
          <w:bCs/>
          <w:sz w:val="24"/>
          <w:szCs w:val="24"/>
          <w:rtl/>
        </w:rPr>
        <w:t>) افراد يا گروه‏ها و تفاوت‏‏هاي آن‏ها است. اين نوع از سياست مستلزم آن است که با افراد و گروه‏هاي متفاوت به گونه</w:t>
      </w:r>
      <w:r w:rsidRPr="00C917DC">
        <w:rPr>
          <w:rFonts w:ascii="Arabic Transparent" w:eastAsia="Times New Roman" w:hAnsi="Arabic Transparent" w:cs="Arabic Transparent"/>
          <w:b/>
          <w:bCs/>
          <w:sz w:val="24"/>
          <w:szCs w:val="24"/>
          <w:rtl/>
        </w:rPr>
        <w:softHyphen/>
        <w:t>اي متفاوت رفتار شود (</w:t>
      </w:r>
      <w:r w:rsidRPr="00C917DC">
        <w:rPr>
          <w:rFonts w:ascii="Arabic Transparent" w:eastAsia="Times New Roman" w:hAnsi="Arabic Transparent" w:cs="Arabic Transparent"/>
          <w:b/>
          <w:bCs/>
          <w:sz w:val="24"/>
          <w:szCs w:val="24"/>
        </w:rPr>
        <w:t>Taylor, 1992: 38-39</w:t>
      </w:r>
      <w:r w:rsidRPr="00C917DC">
        <w:rPr>
          <w:rFonts w:ascii="Arabic Transparent" w:eastAsia="Times New Roman" w:hAnsi="Arabic Transparent" w:cs="Arabic Transparent"/>
          <w:b/>
          <w:bCs/>
          <w:sz w:val="24"/>
          <w:szCs w:val="24"/>
          <w:rtl/>
        </w:rPr>
        <w:t>). اين نوع از سياست، که نوع مطلوب سياست از نظر تيلور است، اجازه مي‏دهد تا فضيلت</w:t>
      </w:r>
      <w:r w:rsidRPr="00C917DC">
        <w:rPr>
          <w:rFonts w:ascii="Arabic Transparent" w:eastAsia="Times New Roman" w:hAnsi="Arabic Transparent" w:cs="Arabic Transparent"/>
          <w:b/>
          <w:bCs/>
          <w:sz w:val="24"/>
          <w:szCs w:val="24"/>
          <w:rtl/>
        </w:rPr>
        <w:softHyphen/>
        <w:t>هاي عمومي (</w:t>
      </w:r>
      <w:r w:rsidRPr="00C917DC">
        <w:rPr>
          <w:rFonts w:ascii="Arabic Transparent" w:eastAsia="Times New Roman" w:hAnsi="Arabic Transparent" w:cs="Arabic Transparent"/>
          <w:b/>
          <w:bCs/>
          <w:sz w:val="24"/>
          <w:szCs w:val="24"/>
        </w:rPr>
        <w:t>common goods</w:t>
      </w:r>
      <w:r w:rsidRPr="00C917DC">
        <w:rPr>
          <w:rFonts w:ascii="Arabic Transparent" w:eastAsia="Times New Roman" w:hAnsi="Arabic Transparent" w:cs="Arabic Transparent"/>
          <w:b/>
          <w:bCs/>
          <w:sz w:val="24"/>
          <w:szCs w:val="24"/>
          <w:rtl/>
        </w:rPr>
        <w:t>) يا هدف</w:t>
      </w:r>
      <w:r w:rsidRPr="00C917DC">
        <w:rPr>
          <w:rFonts w:ascii="Arabic Transparent" w:eastAsia="Times New Roman" w:hAnsi="Arabic Transparent" w:cs="Arabic Transparent"/>
          <w:b/>
          <w:bCs/>
          <w:sz w:val="24"/>
          <w:szCs w:val="24"/>
          <w:rtl/>
        </w:rPr>
        <w:softHyphen/>
        <w:t>هاي جمعي (</w:t>
      </w:r>
      <w:r w:rsidRPr="00C917DC">
        <w:rPr>
          <w:rFonts w:ascii="Arabic Transparent" w:eastAsia="Times New Roman" w:hAnsi="Arabic Transparent" w:cs="Arabic Transparent"/>
          <w:b/>
          <w:bCs/>
          <w:sz w:val="24"/>
          <w:szCs w:val="24"/>
        </w:rPr>
        <w:t>collective</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goals</w:t>
      </w:r>
      <w:r w:rsidRPr="00C917DC">
        <w:rPr>
          <w:rFonts w:ascii="Arabic Transparent" w:eastAsia="Times New Roman" w:hAnsi="Arabic Transparent" w:cs="Arabic Transparent"/>
          <w:b/>
          <w:bCs/>
          <w:sz w:val="24"/>
          <w:szCs w:val="24"/>
          <w:rtl/>
        </w:rPr>
        <w:t>)، هم</w:t>
      </w:r>
      <w:r w:rsidRPr="00C917DC">
        <w:rPr>
          <w:rFonts w:ascii="Arabic Transparent" w:eastAsia="Times New Roman" w:hAnsi="Arabic Transparent" w:cs="Arabic Transparent"/>
          <w:b/>
          <w:bCs/>
          <w:sz w:val="24"/>
          <w:szCs w:val="24"/>
          <w:rtl/>
        </w:rPr>
        <w:softHyphen/>
        <w:t>چون پيشبرد يک فرهنگ، توسط دستگاه سياسي کشور دنبال شوند. اين نوع از ليبراليسم, دولت‏ها را مجاز مي‏شمرد تا اجتماع را حول يک نگرش در مورد زندگي سعادت آميز(</w:t>
      </w:r>
      <w:r w:rsidRPr="00C917DC">
        <w:rPr>
          <w:rFonts w:ascii="Arabic Transparent" w:eastAsia="Times New Roman" w:hAnsi="Arabic Transparent" w:cs="Arabic Transparent"/>
          <w:b/>
          <w:bCs/>
          <w:sz w:val="24"/>
          <w:szCs w:val="24"/>
        </w:rPr>
        <w:t>a conception of the good life</w:t>
      </w:r>
      <w:r w:rsidRPr="00C917DC">
        <w:rPr>
          <w:rFonts w:ascii="Arabic Transparent" w:eastAsia="Times New Roman" w:hAnsi="Arabic Transparent" w:cs="Arabic Transparent"/>
          <w:b/>
          <w:bCs/>
          <w:sz w:val="24"/>
          <w:szCs w:val="24"/>
          <w:rtl/>
        </w:rPr>
        <w:t>) سازماندهي کنند و تحقق فضائلي جمعي را تعقيب کنند که به حفظ هويت ملي يا فرهنگي کشور مدد مي‏رسانند.[11] سياست پذيرش تفاوت‏‏هاي فرهنگي اولاً انعطاف پذيري در اجراي قانون و حقوق و امتيازهاي قانوني را جايز مي‏شمرد. در اين نوع از سياست، حقوق بنيادين افراد از امتيازها و مصونيت‏هايي که لازمه رفتار يکسان است تفکيک مي‏شوند و در حالي</w:t>
      </w:r>
      <w:r w:rsidRPr="00C917DC">
        <w:rPr>
          <w:rFonts w:ascii="Arabic Transparent" w:eastAsia="Times New Roman" w:hAnsi="Arabic Transparent" w:cs="Arabic Transparent"/>
          <w:b/>
          <w:bCs/>
          <w:sz w:val="24"/>
          <w:szCs w:val="24"/>
          <w:rtl/>
        </w:rPr>
        <w:softHyphen/>
        <w:t>که نقض حقوق بنيادين غير مجاز است، اين امتيازها و مصونيت‏ها را مي‏توان سلب يا محدود کرد (</w:t>
      </w:r>
      <w:r w:rsidRPr="00C917DC">
        <w:rPr>
          <w:rFonts w:ascii="Arabic Transparent" w:eastAsia="Times New Roman" w:hAnsi="Arabic Transparent" w:cs="Arabic Transparent"/>
          <w:b/>
          <w:bCs/>
          <w:sz w:val="24"/>
          <w:szCs w:val="24"/>
        </w:rPr>
        <w:t>Taylor, 1992: 59</w:t>
      </w:r>
      <w:r w:rsidRPr="00C917DC">
        <w:rPr>
          <w:rFonts w:ascii="Arabic Transparent" w:eastAsia="Times New Roman" w:hAnsi="Arabic Transparent" w:cs="Arabic Transparent"/>
          <w:b/>
          <w:bCs/>
          <w:sz w:val="24"/>
          <w:szCs w:val="24"/>
          <w:rtl/>
        </w:rPr>
        <w:t>). ثانياً، سياست پذيرش تفاوت‏ها به جامعه</w:t>
      </w:r>
      <w:r w:rsidRPr="00C917DC">
        <w:rPr>
          <w:rFonts w:ascii="Arabic Transparent" w:eastAsia="Times New Roman" w:hAnsi="Arabic Transparent" w:cs="Arabic Transparent"/>
          <w:b/>
          <w:bCs/>
          <w:sz w:val="24"/>
          <w:szCs w:val="24"/>
          <w:rtl/>
        </w:rPr>
        <w:softHyphen/>
        <w:t>هاي فرهنگي اجازه مي‏دهد تا هدف</w:t>
      </w:r>
      <w:r w:rsidRPr="00C917DC">
        <w:rPr>
          <w:rFonts w:ascii="Arabic Transparent" w:eastAsia="Times New Roman" w:hAnsi="Arabic Transparent" w:cs="Arabic Transparent"/>
          <w:b/>
          <w:bCs/>
          <w:sz w:val="24"/>
          <w:szCs w:val="24"/>
          <w:rtl/>
        </w:rPr>
        <w:softHyphen/>
        <w:t xml:space="preserve">هاي جمعي و به ويژه تلاش براي ادامه بقاي فرهنگي, را دنبال کنند.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البته اين نقد بر تيلور وارد است كه ليبراليسم مورد نظر وي پاسخي براي مسائل اقليت‏هاي غير متمرکز ندارد. سياست پيگيري هدف</w:t>
      </w:r>
      <w:r w:rsidRPr="00C917DC">
        <w:rPr>
          <w:rFonts w:ascii="Arabic Transparent" w:eastAsia="Times New Roman" w:hAnsi="Arabic Transparent" w:cs="Arabic Transparent"/>
          <w:b/>
          <w:bCs/>
          <w:sz w:val="24"/>
          <w:szCs w:val="24"/>
          <w:rtl/>
        </w:rPr>
        <w:softHyphen/>
        <w:t>هاي جمعي در يک جامعة چند فرهنگي, که در آن جامعه</w:t>
      </w:r>
      <w:r w:rsidRPr="00C917DC">
        <w:rPr>
          <w:rFonts w:ascii="Arabic Transparent" w:eastAsia="Times New Roman" w:hAnsi="Arabic Transparent" w:cs="Arabic Transparent"/>
          <w:b/>
          <w:bCs/>
          <w:sz w:val="24"/>
          <w:szCs w:val="24"/>
          <w:rtl/>
        </w:rPr>
        <w:softHyphen/>
        <w:t>هاي مختلف از لحاظ سرزميني از يکديگر جدا هستند, امکان</w:t>
      </w:r>
      <w:r w:rsidRPr="00C917DC">
        <w:rPr>
          <w:rFonts w:ascii="Arabic Transparent" w:eastAsia="Times New Roman" w:hAnsi="Arabic Transparent" w:cs="Arabic Transparent"/>
          <w:b/>
          <w:bCs/>
          <w:sz w:val="24"/>
          <w:szCs w:val="24"/>
          <w:rtl/>
        </w:rPr>
        <w:softHyphen/>
        <w:t>پذير است. بنابراين، يک جامعه متفاوت مثل کبک (</w:t>
      </w:r>
      <w:r w:rsidRPr="00C917DC">
        <w:rPr>
          <w:rFonts w:ascii="Arabic Transparent" w:eastAsia="Times New Roman" w:hAnsi="Arabic Transparent" w:cs="Arabic Transparent"/>
          <w:b/>
          <w:bCs/>
          <w:sz w:val="24"/>
          <w:szCs w:val="24"/>
        </w:rPr>
        <w:t>Quebec</w:t>
      </w:r>
      <w:r w:rsidRPr="00C917DC">
        <w:rPr>
          <w:rFonts w:ascii="Arabic Transparent" w:eastAsia="Times New Roman" w:hAnsi="Arabic Transparent" w:cs="Arabic Transparent"/>
          <w:b/>
          <w:bCs/>
          <w:sz w:val="24"/>
          <w:szCs w:val="24"/>
          <w:rtl/>
        </w:rPr>
        <w:t>) (بخش فرانسوي نشين کانادا) به گونه</w:t>
      </w:r>
      <w:r w:rsidRPr="00C917DC">
        <w:rPr>
          <w:rFonts w:ascii="Arabic Transparent" w:eastAsia="Times New Roman" w:hAnsi="Arabic Transparent" w:cs="Arabic Transparent"/>
          <w:b/>
          <w:bCs/>
          <w:sz w:val="24"/>
          <w:szCs w:val="24"/>
          <w:rtl/>
        </w:rPr>
        <w:softHyphen/>
        <w:t>اي مشروع مي‏تواند سياست‏‏هاي قومي‏خود را براي حفظ زبان و فرهنگش به اجرا بگذارد. اما معلوم نيست چگونه اين سياست را مي‏توان در آن دسته از جامعه</w:t>
      </w:r>
      <w:r w:rsidRPr="00C917DC">
        <w:rPr>
          <w:rFonts w:ascii="Arabic Transparent" w:eastAsia="Times New Roman" w:hAnsi="Arabic Transparent" w:cs="Arabic Transparent"/>
          <w:b/>
          <w:bCs/>
          <w:sz w:val="24"/>
          <w:szCs w:val="24"/>
          <w:rtl/>
        </w:rPr>
        <w:softHyphen/>
        <w:t>هاي چند فرهنگي دنبال کرد که درهم آميخته</w:t>
      </w:r>
      <w:r w:rsidRPr="00C917DC">
        <w:rPr>
          <w:rFonts w:ascii="Arabic Transparent" w:eastAsia="Times New Roman" w:hAnsi="Arabic Transparent" w:cs="Arabic Transparent"/>
          <w:b/>
          <w:bCs/>
          <w:sz w:val="24"/>
          <w:szCs w:val="24"/>
          <w:rtl/>
        </w:rPr>
        <w:softHyphen/>
        <w:t xml:space="preserve">اند. براي مثال، براي حفظ فرهنگ و زبان مهاجرين چيني در کانادا نمي‏توان همان سياست‏‏هايي را به کار بست که در کبک به اجرا در مي‏آيند.[12] در حقيقت، تيلور اشتياقي به دفاع از حقوق فرهنگي اقليت‏هايي که از لحاظ جغرافيايي متمرکز نيستند از خود نشان نمي‏دهد (براي مثال ر.ک: </w:t>
      </w:r>
      <w:r w:rsidRPr="00C917DC">
        <w:rPr>
          <w:rFonts w:ascii="Arabic Transparent" w:eastAsia="Times New Roman" w:hAnsi="Arabic Transparent" w:cs="Arabic Transparent"/>
          <w:b/>
          <w:bCs/>
          <w:sz w:val="24"/>
          <w:szCs w:val="24"/>
        </w:rPr>
        <w:t>Connolly, 1996: 63</w:t>
      </w:r>
      <w:r w:rsidRPr="00C917DC">
        <w:rPr>
          <w:rFonts w:ascii="Arabic Transparent" w:eastAsia="Times New Roman" w:hAnsi="Arabic Transparent" w:cs="Arabic Transparent"/>
          <w:b/>
          <w:bCs/>
          <w:sz w:val="24"/>
          <w:szCs w:val="24"/>
          <w:rtl/>
        </w:rPr>
        <w:t xml:space="preserve">).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علاوه بر اين، از آن</w:t>
      </w:r>
      <w:r w:rsidRPr="00C917DC">
        <w:rPr>
          <w:rFonts w:ascii="Arabic Transparent" w:eastAsia="Times New Roman" w:hAnsi="Arabic Transparent" w:cs="Arabic Transparent"/>
          <w:b/>
          <w:bCs/>
          <w:sz w:val="24"/>
          <w:szCs w:val="24"/>
          <w:rtl/>
        </w:rPr>
        <w:softHyphen/>
        <w:t>جا که در نظام مورد نظر تيلور مطلوب‏هاي جمعي توسط نهادهاي سياسي دنبال مي‏شود، اقليت</w:t>
      </w:r>
      <w:r w:rsidRPr="00C917DC">
        <w:rPr>
          <w:rFonts w:ascii="Arabic Transparent" w:eastAsia="Times New Roman" w:hAnsi="Arabic Transparent" w:cs="Arabic Transparent"/>
          <w:b/>
          <w:bCs/>
          <w:sz w:val="24"/>
          <w:szCs w:val="24"/>
          <w:rtl/>
        </w:rPr>
        <w:softHyphen/>
        <w:t>هاي غيرمتمرکز زيانمند خواهند شد، زيرا هدف</w:t>
      </w:r>
      <w:r w:rsidRPr="00C917DC">
        <w:rPr>
          <w:rFonts w:ascii="Arabic Transparent" w:eastAsia="Times New Roman" w:hAnsi="Arabic Transparent" w:cs="Arabic Transparent"/>
          <w:b/>
          <w:bCs/>
          <w:sz w:val="24"/>
          <w:szCs w:val="24"/>
          <w:rtl/>
        </w:rPr>
        <w:softHyphen/>
        <w:t>هاي جمعي فرهنگ اکثريت با ماليات اخذ شده از جامعه</w:t>
      </w:r>
      <w:r w:rsidRPr="00C917DC">
        <w:rPr>
          <w:rFonts w:ascii="Arabic Transparent" w:eastAsia="Times New Roman" w:hAnsi="Arabic Transparent" w:cs="Arabic Transparent"/>
          <w:b/>
          <w:bCs/>
          <w:sz w:val="24"/>
          <w:szCs w:val="24"/>
          <w:rtl/>
        </w:rPr>
        <w:softHyphen/>
        <w:t>هاي اکثريت و اقليت، هر دو، دنبال مي‏شوند و نيز دولت به پيشبرد نگرش اکثريت در مورد زندگي سعادت</w:t>
      </w:r>
      <w:r w:rsidRPr="00C917DC">
        <w:rPr>
          <w:rFonts w:ascii="Arabic Transparent" w:eastAsia="Times New Roman" w:hAnsi="Arabic Transparent" w:cs="Arabic Transparent"/>
          <w:b/>
          <w:bCs/>
          <w:sz w:val="24"/>
          <w:szCs w:val="24"/>
          <w:rtl/>
        </w:rPr>
        <w:softHyphen/>
        <w:t>آميز کمک مالي مي‏کند، در حالي که اقليت‏ها از چنين کمکي بي</w:t>
      </w:r>
      <w:r w:rsidRPr="00C917DC">
        <w:rPr>
          <w:rFonts w:ascii="Arabic Transparent" w:eastAsia="Times New Roman" w:hAnsi="Arabic Transparent" w:cs="Arabic Transparent"/>
          <w:b/>
          <w:bCs/>
          <w:sz w:val="24"/>
          <w:szCs w:val="24"/>
          <w:rtl/>
        </w:rPr>
        <w:softHyphen/>
        <w:t>بهره خواهند ماند. بنابراين مي‏توان گفت که در چنين مواردي، ليبراليسم مورد نظر تيلور حتي بيش از ليبراليسم معطوف به روش, تفاوت‏‏هاي فرهنگي را سرکوب مي‏کند. علاوه بر اين، جامعه</w:t>
      </w:r>
      <w:r w:rsidRPr="00C917DC">
        <w:rPr>
          <w:rFonts w:ascii="Arabic Transparent" w:eastAsia="Times New Roman" w:hAnsi="Arabic Transparent" w:cs="Arabic Transparent"/>
          <w:b/>
          <w:bCs/>
          <w:sz w:val="24"/>
          <w:szCs w:val="24"/>
          <w:rtl/>
        </w:rPr>
        <w:softHyphen/>
        <w:t>اي که يک نگرش ويژه از زندگي سعادت</w:t>
      </w:r>
      <w:r w:rsidRPr="00C917DC">
        <w:rPr>
          <w:rFonts w:ascii="Arabic Transparent" w:eastAsia="Times New Roman" w:hAnsi="Arabic Transparent" w:cs="Arabic Transparent"/>
          <w:b/>
          <w:bCs/>
          <w:sz w:val="24"/>
          <w:szCs w:val="24"/>
          <w:rtl/>
        </w:rPr>
        <w:softHyphen/>
        <w:t xml:space="preserve">آميز را دنبال مي‏کند و براي بقاي يک فرهنگ خاص مي‏کوشد، از طريق سرکوب اختلاف نظرهاي </w:t>
      </w:r>
      <w:r w:rsidRPr="00C917DC">
        <w:rPr>
          <w:rFonts w:ascii="Arabic Transparent" w:eastAsia="Times New Roman" w:hAnsi="Arabic Transparent" w:cs="Arabic Transparent"/>
          <w:b/>
          <w:bCs/>
          <w:sz w:val="24"/>
          <w:szCs w:val="24"/>
          <w:rtl/>
        </w:rPr>
        <w:lastRenderedPageBreak/>
        <w:t>داخلي و نيز اقليت‏هاي پراکنده به سمت همگن شدن (</w:t>
      </w:r>
      <w:proofErr w:type="spellStart"/>
      <w:r w:rsidRPr="00C917DC">
        <w:rPr>
          <w:rFonts w:ascii="Arabic Transparent" w:eastAsia="Times New Roman" w:hAnsi="Arabic Transparent" w:cs="Arabic Transparent"/>
          <w:b/>
          <w:bCs/>
          <w:sz w:val="24"/>
          <w:szCs w:val="24"/>
        </w:rPr>
        <w:t>homogeniety</w:t>
      </w:r>
      <w:proofErr w:type="spellEnd"/>
      <w:r w:rsidRPr="00C917DC">
        <w:rPr>
          <w:rFonts w:ascii="Arabic Transparent" w:eastAsia="Times New Roman" w:hAnsi="Arabic Transparent" w:cs="Arabic Transparent"/>
          <w:b/>
          <w:bCs/>
          <w:sz w:val="24"/>
          <w:szCs w:val="24"/>
          <w:rtl/>
        </w:rPr>
        <w:t>) هر چه بيشتر حرکت مي‏کند. شايد بتوان گفت که در جامعه</w:t>
      </w:r>
      <w:r w:rsidRPr="00C917DC">
        <w:rPr>
          <w:rFonts w:ascii="Arabic Transparent" w:eastAsia="Times New Roman" w:hAnsi="Arabic Transparent" w:cs="Arabic Transparent"/>
          <w:b/>
          <w:bCs/>
          <w:sz w:val="24"/>
          <w:szCs w:val="24"/>
          <w:rtl/>
        </w:rPr>
        <w:softHyphen/>
        <w:t>هاي چند فرهنگي داراي اقليت‏هاي غيرمتمرکز، قرائت رالز از ليبراليسم، که پيشبرد يک فرهنگ را هدف قرار نمي‏دهد، بيش از سياست پذيرش تفاوت‏ها که تيلور جانبدار آن است پذيراي تفاوت‏‏هاي فرهنگي است.</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يکي ديگر از نقد‏هايي که بر تيلور وارد است آن است که سياست مورد نظر وي در به رسميت شناختن هويت ويژه افراد يا جامعه</w:t>
      </w:r>
      <w:r w:rsidRPr="00C917DC">
        <w:rPr>
          <w:rFonts w:ascii="Arabic Transparent" w:eastAsia="Times New Roman" w:hAnsi="Arabic Transparent" w:cs="Arabic Transparent"/>
          <w:b/>
          <w:bCs/>
          <w:sz w:val="24"/>
          <w:szCs w:val="24"/>
          <w:rtl/>
        </w:rPr>
        <w:softHyphen/>
        <w:t>هاي فرهنگي، همه ابعاد هويت را نيازمند آن مي‏داند که از لحاظ سياسي به رسميت شناخته شوند. وي بين آن بخش از هويت که آدمي ترجيح مي‏دهد امري خصوصي بماند و ديگر بخش‏ها تفکيکي قائل نمي‏شود. در اين رابطه، آنتوني اپياه مي‏گويد: سياست پذيرش تفاوت‏ها مستلزم آن است که رنگ پوست يا جنسيت يک فرد از نظر سياسي به رسميت شناخته شود و اين براي افرادي که مايلند رنگ پوست يا جنسيت خود را جزء جنبه‏هاي شخصي هويتشان تلقي کنند مقبول نيست (</w:t>
      </w:r>
      <w:proofErr w:type="spellStart"/>
      <w:r w:rsidRPr="00C917DC">
        <w:rPr>
          <w:rFonts w:ascii="Arabic Transparent" w:eastAsia="Times New Roman" w:hAnsi="Arabic Transparent" w:cs="Arabic Transparent"/>
          <w:b/>
          <w:bCs/>
          <w:sz w:val="24"/>
          <w:szCs w:val="24"/>
        </w:rPr>
        <w:t>Appiah</w:t>
      </w:r>
      <w:proofErr w:type="spellEnd"/>
      <w:r w:rsidRPr="00C917DC">
        <w:rPr>
          <w:rFonts w:ascii="Arabic Transparent" w:eastAsia="Times New Roman" w:hAnsi="Arabic Transparent" w:cs="Arabic Transparent"/>
          <w:b/>
          <w:bCs/>
          <w:sz w:val="24"/>
          <w:szCs w:val="24"/>
        </w:rPr>
        <w:t>, 1994</w:t>
      </w:r>
      <w:r w:rsidRPr="00C917DC">
        <w:rPr>
          <w:rFonts w:ascii="Arabic Transparent" w:eastAsia="Times New Roman" w:hAnsi="Arabic Transparent" w:cs="Arabic Transparent"/>
          <w:b/>
          <w:bCs/>
          <w:sz w:val="24"/>
          <w:szCs w:val="24"/>
          <w:rtl/>
        </w:rPr>
        <w:t>: 163).</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ريشه اين مسأله، همان</w:t>
      </w:r>
      <w:r w:rsidRPr="00C917DC">
        <w:rPr>
          <w:rFonts w:ascii="Arabic Transparent" w:eastAsia="Times New Roman" w:hAnsi="Arabic Transparent" w:cs="Arabic Transparent"/>
          <w:b/>
          <w:bCs/>
          <w:sz w:val="24"/>
          <w:szCs w:val="24"/>
          <w:rtl/>
        </w:rPr>
        <w:softHyphen/>
        <w:t>گونه که پيش از اين يادآوري شد، در معامله يکسان تيلور با تمامي ابعاد هويت است. وي در تعريف هويت، بر آن</w:t>
      </w:r>
      <w:r w:rsidRPr="00C917DC">
        <w:rPr>
          <w:rFonts w:ascii="Arabic Transparent" w:eastAsia="Times New Roman" w:hAnsi="Arabic Transparent" w:cs="Arabic Transparent"/>
          <w:b/>
          <w:bCs/>
          <w:sz w:val="24"/>
          <w:szCs w:val="24"/>
          <w:rtl/>
        </w:rPr>
        <w:softHyphen/>
        <w:t xml:space="preserve">چه آن را "ارزيابي جدي"( </w:t>
      </w:r>
      <w:r w:rsidRPr="00C917DC">
        <w:rPr>
          <w:rFonts w:ascii="Arabic Transparent" w:eastAsia="Times New Roman" w:hAnsi="Arabic Transparent" w:cs="Arabic Transparent"/>
          <w:b/>
          <w:bCs/>
          <w:sz w:val="24"/>
          <w:szCs w:val="24"/>
        </w:rPr>
        <w:t>strong</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evaluation</w:t>
      </w:r>
      <w:r w:rsidRPr="00C917DC">
        <w:rPr>
          <w:rFonts w:ascii="Arabic Transparent" w:eastAsia="Times New Roman" w:hAnsi="Arabic Transparent" w:cs="Arabic Transparent"/>
          <w:b/>
          <w:bCs/>
          <w:sz w:val="24"/>
          <w:szCs w:val="24"/>
          <w:rtl/>
        </w:rPr>
        <w:t>) مي‏خواند و نيز ديدگاه‏هاي مربوط به زندگي سعادت</w:t>
      </w:r>
      <w:r w:rsidRPr="00C917DC">
        <w:rPr>
          <w:rFonts w:ascii="Arabic Transparent" w:eastAsia="Times New Roman" w:hAnsi="Arabic Transparent" w:cs="Arabic Transparent"/>
          <w:b/>
          <w:bCs/>
          <w:sz w:val="24"/>
          <w:szCs w:val="24"/>
          <w:rtl/>
        </w:rPr>
        <w:softHyphen/>
        <w:t>آميز تأکيد مي‏کند و آن‏ها را قوام بخش خويشتن آدمي مي‏خواند. احتمالاً، چنين برداشتي از هويت به عنوان امري حياتي است که تيلور را آن سمت سوق مي‏دهد که هويت را امري سياسي بپندارد. اما، برخلاف آن</w:t>
      </w:r>
      <w:r w:rsidRPr="00C917DC">
        <w:rPr>
          <w:rFonts w:ascii="Arabic Transparent" w:eastAsia="Times New Roman" w:hAnsi="Arabic Transparent" w:cs="Arabic Transparent"/>
          <w:b/>
          <w:bCs/>
          <w:sz w:val="24"/>
          <w:szCs w:val="24"/>
          <w:rtl/>
        </w:rPr>
        <w:softHyphen/>
        <w:t>چه گاهي تيلور مدعي مي‏شود، هويت تنها دربرگيرنده اموري نيست که نفي آن‏ها به منزله ناديده انگاري هسته اصلي شخصيت فرد باشد و به بحران هويت, منتهي شود. همانگونه که يادآور شديم، هويت در برگيرنده ارزش‏ها و اصولي جهان</w:t>
      </w:r>
      <w:r w:rsidRPr="00C917DC">
        <w:rPr>
          <w:rFonts w:ascii="Arabic Transparent" w:eastAsia="Times New Roman" w:hAnsi="Arabic Transparent" w:cs="Arabic Transparent"/>
          <w:b/>
          <w:bCs/>
          <w:sz w:val="24"/>
          <w:szCs w:val="24"/>
          <w:rtl/>
        </w:rPr>
        <w:softHyphen/>
        <w:t>شمول و نيز معيار‏ها و دلبستگي‏هاي محلي(</w:t>
      </w:r>
      <w:r w:rsidRPr="00C917DC">
        <w:rPr>
          <w:rFonts w:ascii="Arabic Transparent" w:eastAsia="Times New Roman" w:hAnsi="Arabic Transparent" w:cs="Arabic Transparent"/>
          <w:b/>
          <w:bCs/>
          <w:sz w:val="24"/>
          <w:szCs w:val="24"/>
        </w:rPr>
        <w:t>local</w:t>
      </w:r>
      <w:r w:rsidRPr="00C917DC">
        <w:rPr>
          <w:rFonts w:ascii="Arabic Transparent" w:eastAsia="Times New Roman" w:hAnsi="Arabic Transparent" w:cs="Arabic Transparent"/>
          <w:b/>
          <w:bCs/>
          <w:sz w:val="24"/>
          <w:szCs w:val="24"/>
          <w:rtl/>
        </w:rPr>
        <w:t>) است که ريشه در تعلق به يک جامعه خاص دارند. نه تمامي ابعاد هويت، اعم از جهان</w:t>
      </w:r>
      <w:r w:rsidRPr="00C917DC">
        <w:rPr>
          <w:rFonts w:ascii="Arabic Transparent" w:eastAsia="Times New Roman" w:hAnsi="Arabic Transparent" w:cs="Arabic Transparent"/>
          <w:b/>
          <w:bCs/>
          <w:sz w:val="24"/>
          <w:szCs w:val="24"/>
          <w:rtl/>
        </w:rPr>
        <w:softHyphen/>
        <w:t>شمول و محلي، داراي اهميت يکسان هستند و نه تمامي اين ابعاد مستلزم آنند که به طور سياسي به رسميت شناخته شوند.</w:t>
      </w:r>
    </w:p>
    <w:p w:rsidR="00C917DC" w:rsidRPr="00C917DC" w:rsidRDefault="00C917DC" w:rsidP="00C917D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917DC">
        <w:rPr>
          <w:rFonts w:ascii="Arabic Transparent" w:eastAsia="Times New Roman" w:hAnsi="Arabic Transparent" w:cs="Arabic Transparent"/>
          <w:b/>
          <w:bCs/>
          <w:sz w:val="27"/>
          <w:szCs w:val="27"/>
          <w:rtl/>
        </w:rPr>
        <w:t>حقوق بنيادين انسان‏ها</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از ديدگاه تيلور تنها محدوديت در سياست تحقق</w:t>
      </w:r>
      <w:r w:rsidRPr="00C917DC">
        <w:rPr>
          <w:rFonts w:ascii="Arabic Transparent" w:eastAsia="Times New Roman" w:hAnsi="Arabic Transparent" w:cs="Arabic Transparent"/>
          <w:b/>
          <w:bCs/>
          <w:sz w:val="24"/>
          <w:szCs w:val="24"/>
          <w:rtl/>
        </w:rPr>
        <w:softHyphen/>
        <w:t>بخشي به هدف</w:t>
      </w:r>
      <w:r w:rsidRPr="00C917DC">
        <w:rPr>
          <w:rFonts w:ascii="Arabic Transparent" w:eastAsia="Times New Roman" w:hAnsi="Arabic Transparent" w:cs="Arabic Transparent"/>
          <w:b/>
          <w:bCs/>
          <w:sz w:val="24"/>
          <w:szCs w:val="24"/>
          <w:rtl/>
        </w:rPr>
        <w:softHyphen/>
        <w:t>هاي جمعي اقليت‏هاي متمرکز، "حقوق بنيادين" افراد است. در اين ارتباط دو سؤال مطرح مي‏شود. نخست آن</w:t>
      </w:r>
      <w:r w:rsidRPr="00C917DC">
        <w:rPr>
          <w:rFonts w:ascii="Arabic Transparent" w:eastAsia="Times New Roman" w:hAnsi="Arabic Transparent" w:cs="Arabic Transparent"/>
          <w:b/>
          <w:bCs/>
          <w:sz w:val="24"/>
          <w:szCs w:val="24"/>
          <w:rtl/>
        </w:rPr>
        <w:softHyphen/>
        <w:t>که آيا ليبراليسم مورد نظر تيلور سزاوار همان انتقادي نيست که تيلور خود متوجه ليبراليسم معطوف به روش مي‏سازد، يعني رفتار مشابه با همه شهروندان. به عبارت ديگر، به نظر مي‏رسد که سياست پذيرش تفاوت‏ها تنها تا آن حد با ليبراليسم معطوف به روش فرق مي‏کند که حقوق مشابه اعطا شده به همه افراد را به حقوق بنيادين محدود مي‏سازد. در حالي</w:t>
      </w:r>
      <w:r w:rsidRPr="00C917DC">
        <w:rPr>
          <w:rFonts w:ascii="Arabic Transparent" w:eastAsia="Times New Roman" w:hAnsi="Arabic Transparent" w:cs="Arabic Transparent"/>
          <w:b/>
          <w:bCs/>
          <w:sz w:val="24"/>
          <w:szCs w:val="24"/>
          <w:rtl/>
        </w:rPr>
        <w:softHyphen/>
        <w:t>که تيلور ليبراليسم معطوف به روش و نظريه</w:t>
      </w:r>
      <w:r w:rsidRPr="00C917DC">
        <w:rPr>
          <w:rFonts w:ascii="Arabic Transparent" w:eastAsia="Times New Roman" w:hAnsi="Arabic Transparent" w:cs="Arabic Transparent"/>
          <w:b/>
          <w:bCs/>
          <w:sz w:val="24"/>
          <w:szCs w:val="24"/>
          <w:rtl/>
        </w:rPr>
        <w:softHyphen/>
        <w:t>هاي ليبرالي مبتني بر حقوق (</w:t>
      </w:r>
      <w:r w:rsidRPr="00C917DC">
        <w:rPr>
          <w:rFonts w:ascii="Arabic Transparent" w:eastAsia="Times New Roman" w:hAnsi="Arabic Transparent" w:cs="Arabic Transparent"/>
          <w:b/>
          <w:bCs/>
          <w:sz w:val="24"/>
          <w:szCs w:val="24"/>
        </w:rPr>
        <w:t>rights-based theories</w:t>
      </w:r>
      <w:r w:rsidRPr="00C917DC">
        <w:rPr>
          <w:rFonts w:ascii="Arabic Transparent" w:eastAsia="Times New Roman" w:hAnsi="Arabic Transparent" w:cs="Arabic Transparent"/>
          <w:b/>
          <w:bCs/>
          <w:sz w:val="24"/>
          <w:szCs w:val="24"/>
          <w:rtl/>
        </w:rPr>
        <w:t>) را به دليل اتکا بر بنيان‏هاي جهان</w:t>
      </w:r>
      <w:r w:rsidRPr="00C917DC">
        <w:rPr>
          <w:rFonts w:ascii="Arabic Transparent" w:eastAsia="Times New Roman" w:hAnsi="Arabic Transparent" w:cs="Arabic Transparent"/>
          <w:b/>
          <w:bCs/>
          <w:sz w:val="24"/>
          <w:szCs w:val="24"/>
          <w:rtl/>
        </w:rPr>
        <w:softHyphen/>
        <w:t>شمول (</w:t>
      </w:r>
      <w:r w:rsidRPr="00C917DC">
        <w:rPr>
          <w:rFonts w:ascii="Arabic Transparent" w:eastAsia="Times New Roman" w:hAnsi="Arabic Transparent" w:cs="Arabic Transparent"/>
          <w:b/>
          <w:bCs/>
          <w:sz w:val="24"/>
          <w:szCs w:val="24"/>
        </w:rPr>
        <w:t>universal</w:t>
      </w:r>
      <w:r w:rsidRPr="00C917DC">
        <w:rPr>
          <w:rFonts w:ascii="Arabic Transparent" w:eastAsia="Times New Roman" w:hAnsi="Arabic Transparent" w:cs="Arabic Transparent"/>
          <w:b/>
          <w:bCs/>
          <w:sz w:val="24"/>
          <w:szCs w:val="24"/>
          <w:rtl/>
        </w:rPr>
        <w:t>) و دنبال کردن اهداف عام (</w:t>
      </w:r>
      <w:r w:rsidRPr="00C917DC">
        <w:rPr>
          <w:rFonts w:ascii="Arabic Transparent" w:eastAsia="Times New Roman" w:hAnsi="Arabic Transparent" w:cs="Arabic Transparent"/>
          <w:b/>
          <w:bCs/>
          <w:sz w:val="24"/>
          <w:szCs w:val="24"/>
        </w:rPr>
        <w:t>universal</w:t>
      </w:r>
      <w:r w:rsidRPr="00C917DC">
        <w:rPr>
          <w:rFonts w:ascii="Arabic Transparent" w:eastAsia="Times New Roman" w:hAnsi="Arabic Transparent" w:cs="Arabic Transparent"/>
          <w:b/>
          <w:bCs/>
          <w:sz w:val="24"/>
          <w:szCs w:val="24"/>
          <w:rtl/>
        </w:rPr>
        <w:t>) و رفتار مشابه(</w:t>
      </w:r>
      <w:r w:rsidRPr="00C917DC">
        <w:rPr>
          <w:rFonts w:ascii="Arabic Transparent" w:eastAsia="Times New Roman" w:hAnsi="Arabic Transparent" w:cs="Arabic Transparent"/>
          <w:b/>
          <w:bCs/>
          <w:sz w:val="24"/>
          <w:szCs w:val="24"/>
        </w:rPr>
        <w:t>uniform treatment</w:t>
      </w:r>
      <w:r w:rsidRPr="00C917DC">
        <w:rPr>
          <w:rFonts w:ascii="Arabic Transparent" w:eastAsia="Times New Roman" w:hAnsi="Arabic Transparent" w:cs="Arabic Transparent"/>
          <w:b/>
          <w:bCs/>
          <w:sz w:val="24"/>
          <w:szCs w:val="24"/>
          <w:rtl/>
        </w:rPr>
        <w:t>) نقد مي‏کند، در نظريه خودش نيز حقوق و فضيلت</w:t>
      </w:r>
      <w:r w:rsidRPr="00C917DC">
        <w:rPr>
          <w:rFonts w:ascii="Arabic Transparent" w:eastAsia="Times New Roman" w:hAnsi="Arabic Transparent" w:cs="Arabic Transparent"/>
          <w:b/>
          <w:bCs/>
          <w:sz w:val="24"/>
          <w:szCs w:val="24"/>
          <w:rtl/>
        </w:rPr>
        <w:softHyphen/>
        <w:t>هاي جهان</w:t>
      </w:r>
      <w:r w:rsidRPr="00C917DC">
        <w:rPr>
          <w:rFonts w:ascii="Arabic Transparent" w:eastAsia="Times New Roman" w:hAnsi="Arabic Transparent" w:cs="Arabic Transparent"/>
          <w:b/>
          <w:bCs/>
          <w:sz w:val="24"/>
          <w:szCs w:val="24"/>
          <w:rtl/>
        </w:rPr>
        <w:softHyphen/>
        <w:t>شمولي يافت مي‏شوند. دوم آن که چگونه و طبق کدام معيار مي‏توان حقوق بنيادين را از ساير حقوق و مصونيت‏ها، که به نظر تيلور مي‏توانند سلب يا محدود شوند، تمييز داد؟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تيلور خود واقف است که اين سؤال که حقوق بنيادين کدامند مسأله</w:t>
      </w:r>
      <w:r w:rsidRPr="00C917DC">
        <w:rPr>
          <w:rFonts w:ascii="Arabic Transparent" w:eastAsia="Times New Roman" w:hAnsi="Arabic Transparent" w:cs="Arabic Transparent"/>
          <w:b/>
          <w:bCs/>
          <w:sz w:val="24"/>
          <w:szCs w:val="24"/>
          <w:rtl/>
        </w:rPr>
        <w:softHyphen/>
        <w:t>اي مناقشه برانگيز است، به ويژه آن گاه که در بحث</w:t>
      </w:r>
      <w:r w:rsidRPr="00C917DC">
        <w:rPr>
          <w:rFonts w:ascii="Arabic Transparent" w:eastAsia="Times New Roman" w:hAnsi="Arabic Transparent" w:cs="Arabic Transparent"/>
          <w:b/>
          <w:bCs/>
          <w:sz w:val="24"/>
          <w:szCs w:val="24"/>
          <w:rtl/>
        </w:rPr>
        <w:softHyphen/>
        <w:t>هاي مربوط به جامعه</w:t>
      </w:r>
      <w:r w:rsidRPr="00C917DC">
        <w:rPr>
          <w:rFonts w:ascii="Arabic Transparent" w:eastAsia="Times New Roman" w:hAnsi="Arabic Transparent" w:cs="Arabic Transparent"/>
          <w:b/>
          <w:bCs/>
          <w:sz w:val="24"/>
          <w:szCs w:val="24"/>
          <w:rtl/>
        </w:rPr>
        <w:softHyphen/>
        <w:t>هاي چند فرهنگي مطرح شود. براي مثال، او تأييد مي‏کند که تفکيک ميان عرصه عمومي ‏و عرصه خصوصي زندگي و ميان دين و سياست, آن گونه كه توسط ليبرال‏ها پذيرفته شده است، براي ديگران مقبول نيست. وي دست</w:t>
      </w:r>
      <w:r w:rsidRPr="00C917DC">
        <w:rPr>
          <w:rFonts w:ascii="Arabic Transparent" w:eastAsia="Times New Roman" w:hAnsi="Arabic Transparent" w:cs="Arabic Transparent"/>
          <w:b/>
          <w:bCs/>
          <w:sz w:val="24"/>
          <w:szCs w:val="24"/>
          <w:rtl/>
        </w:rPr>
        <w:softHyphen/>
        <w:t>کم در يکي از نوشته‏هايش به حق حيات و بيان به عنوان حقوق بنيادين اشاره مي‏کند (</w:t>
      </w:r>
      <w:r w:rsidRPr="00C917DC">
        <w:rPr>
          <w:rFonts w:ascii="Arabic Transparent" w:eastAsia="Times New Roman" w:hAnsi="Arabic Transparent" w:cs="Arabic Transparent"/>
          <w:b/>
          <w:bCs/>
          <w:sz w:val="24"/>
          <w:szCs w:val="24"/>
        </w:rPr>
        <w:t>Taylor, 1992: 63</w:t>
      </w:r>
      <w:r w:rsidRPr="00C917DC">
        <w:rPr>
          <w:rFonts w:ascii="Arabic Transparent" w:eastAsia="Times New Roman" w:hAnsi="Arabic Transparent" w:cs="Arabic Transparent"/>
          <w:b/>
          <w:bCs/>
          <w:sz w:val="24"/>
          <w:szCs w:val="24"/>
          <w:rtl/>
        </w:rPr>
        <w:t>)، ولي معياري براي تشخيص آن‏ها ارائه نمي‏کند. مهمتر از آن، تيلور مشخص نمي‏کند که چگونه مي‏توان در مورد اولويت حقوق بنيادين پذيرفته شده در جامعه</w:t>
      </w:r>
      <w:r w:rsidRPr="00C917DC">
        <w:rPr>
          <w:rFonts w:ascii="Arabic Transparent" w:eastAsia="Times New Roman" w:hAnsi="Arabic Transparent" w:cs="Arabic Transparent"/>
          <w:b/>
          <w:bCs/>
          <w:sz w:val="24"/>
          <w:szCs w:val="24"/>
          <w:rtl/>
        </w:rPr>
        <w:softHyphen/>
        <w:t>هاي ليبرالي بر ديدگاه‏هاي اخلاقي و هويت ساير جامعه</w:t>
      </w:r>
      <w:r w:rsidRPr="00C917DC">
        <w:rPr>
          <w:rFonts w:ascii="Arabic Transparent" w:eastAsia="Times New Roman" w:hAnsi="Arabic Transparent" w:cs="Arabic Transparent"/>
          <w:b/>
          <w:bCs/>
          <w:sz w:val="24"/>
          <w:szCs w:val="24"/>
          <w:rtl/>
        </w:rPr>
        <w:softHyphen/>
        <w:t>ها داوري کرد، به ويژه آن گاه که حفظ اين ديدگاه‏ها و هويت‏ها مستلزم نقض حقوق بنيادين، هم</w:t>
      </w:r>
      <w:r w:rsidRPr="00C917DC">
        <w:rPr>
          <w:rFonts w:ascii="Arabic Transparent" w:eastAsia="Times New Roman" w:hAnsi="Arabic Transparent" w:cs="Arabic Transparent"/>
          <w:b/>
          <w:bCs/>
          <w:sz w:val="24"/>
          <w:szCs w:val="24"/>
          <w:rtl/>
        </w:rPr>
        <w:softHyphen/>
        <w:t>چون آزادي بيان، باشند. اين فرهنگ‏ها صرفا ممکن است به همان شيوه که تيلور توصيف مي</w:t>
      </w:r>
      <w:r w:rsidRPr="00C917DC">
        <w:rPr>
          <w:rFonts w:ascii="Arabic Transparent" w:eastAsia="Times New Roman" w:hAnsi="Arabic Transparent" w:cs="Arabic Transparent"/>
          <w:b/>
          <w:bCs/>
          <w:sz w:val="24"/>
          <w:szCs w:val="24"/>
          <w:rtl/>
        </w:rPr>
        <w:softHyphen/>
        <w:t>کند با ليبراليسم ناهمخوان باشد.</w:t>
      </w:r>
    </w:p>
    <w:p w:rsidR="00C917DC" w:rsidRPr="00C917DC" w:rsidRDefault="00C917DC" w:rsidP="00C917D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917DC">
        <w:rPr>
          <w:rFonts w:ascii="Arabic Transparent" w:eastAsia="Times New Roman" w:hAnsi="Arabic Transparent" w:cs="Arabic Transparent"/>
          <w:b/>
          <w:bCs/>
          <w:sz w:val="27"/>
          <w:szCs w:val="27"/>
          <w:rtl/>
        </w:rPr>
        <w:t>4_ نتيجه گيري</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در بخش‏هاي بالا ديده شد که از ديدگاه تيلور در باب شکل</w:t>
      </w:r>
      <w:r w:rsidRPr="00C917DC">
        <w:rPr>
          <w:rFonts w:ascii="Arabic Transparent" w:eastAsia="Times New Roman" w:hAnsi="Arabic Transparent" w:cs="Arabic Transparent"/>
          <w:b/>
          <w:bCs/>
          <w:sz w:val="24"/>
          <w:szCs w:val="24"/>
          <w:rtl/>
        </w:rPr>
        <w:softHyphen/>
        <w:t>گيري تفهم در متن و در يک زمينه پيشيني آگاهي، غيرجهان</w:t>
      </w:r>
      <w:r w:rsidRPr="00C917DC">
        <w:rPr>
          <w:rFonts w:ascii="Arabic Transparent" w:eastAsia="Times New Roman" w:hAnsi="Arabic Transparent" w:cs="Arabic Transparent"/>
          <w:b/>
          <w:bCs/>
          <w:sz w:val="24"/>
          <w:szCs w:val="24"/>
          <w:rtl/>
        </w:rPr>
        <w:softHyphen/>
        <w:t xml:space="preserve">شمول بودن تفهم و وابسته بودن آن به يک فرهنگ خاص استنباط مي‏شود. علاوه بر اين، فرهنگ و به ويژه زبان، به </w:t>
      </w:r>
      <w:r w:rsidRPr="00C917DC">
        <w:rPr>
          <w:rFonts w:ascii="Arabic Transparent" w:eastAsia="Times New Roman" w:hAnsi="Arabic Transparent" w:cs="Arabic Transparent"/>
          <w:b/>
          <w:bCs/>
          <w:sz w:val="24"/>
          <w:szCs w:val="24"/>
          <w:rtl/>
        </w:rPr>
        <w:lastRenderedPageBreak/>
        <w:t>سبب ويژگي گفت و گويي خويشتن آدمي، نقشي حياتي در قوام بخشيدن به هويت فرد بازي مي</w:t>
      </w:r>
      <w:r w:rsidRPr="00C917DC">
        <w:rPr>
          <w:rFonts w:ascii="Arabic Transparent" w:eastAsia="Times New Roman" w:hAnsi="Arabic Transparent" w:cs="Arabic Transparent"/>
          <w:b/>
          <w:bCs/>
          <w:sz w:val="24"/>
          <w:szCs w:val="24"/>
          <w:rtl/>
        </w:rPr>
        <w:softHyphen/>
        <w:t>کنند، هويتي که به اعتقاد تيلور اساساً نظرهاي فرد در مورد فضيلت را در بر مي</w:t>
      </w:r>
      <w:r w:rsidRPr="00C917DC">
        <w:rPr>
          <w:rFonts w:ascii="Arabic Transparent" w:eastAsia="Times New Roman" w:hAnsi="Arabic Transparent" w:cs="Arabic Transparent"/>
          <w:b/>
          <w:bCs/>
          <w:sz w:val="24"/>
          <w:szCs w:val="24"/>
          <w:rtl/>
        </w:rPr>
        <w:softHyphen/>
        <w:t>گيرد. اين ديدگاه که يك نظريه اخلاقي، تا حد بسياري، به فرهنگ خاصي وابستگي دارد که در آن نشو و نما کرده است، پذيرش چندگانگي و ناهمخوان بودن نگرش فرهنگ‏هاي مختلف را در باب فضيلت به دنبال دارد. البته ناهمخواني فرهنگ‏هاي مختلف مانع از آن نمي‏شود که ما بتوانيم درباره اعتقادها و رسوم فرهنگ‏هايي به غير از فرهنگ خودمان داوري کنيم، اما مداراي سياسي و اخلاقي و نيز احترام براي ساير فرهنگ‏ها را نيز لازم مي</w:t>
      </w:r>
      <w:r w:rsidRPr="00C917DC">
        <w:rPr>
          <w:rFonts w:ascii="Arabic Transparent" w:eastAsia="Times New Roman" w:hAnsi="Arabic Transparent" w:cs="Arabic Transparent"/>
          <w:b/>
          <w:bCs/>
          <w:sz w:val="24"/>
          <w:szCs w:val="24"/>
          <w:rtl/>
        </w:rPr>
        <w:softHyphen/>
        <w:t>شمرد. قبول اين</w:t>
      </w:r>
      <w:r w:rsidRPr="00C917DC">
        <w:rPr>
          <w:rFonts w:ascii="Arabic Transparent" w:eastAsia="Times New Roman" w:hAnsi="Arabic Transparent" w:cs="Arabic Transparent"/>
          <w:b/>
          <w:bCs/>
          <w:sz w:val="24"/>
          <w:szCs w:val="24"/>
          <w:rtl/>
        </w:rPr>
        <w:softHyphen/>
        <w:t>که درک اخلاقي هر فرد به فرهنگ وي وابسته است، به رسميت شناختن فرهنگ‏ها و تفاوت‏‏هاي فرهنگي را ضروري مي‏سازد، زيرا براي افراد حياتي است که به زندگي و دنياي خود معنا ببخشند. اين هم</w:t>
      </w:r>
      <w:r w:rsidRPr="00C917DC">
        <w:rPr>
          <w:rFonts w:ascii="Arabic Transparent" w:eastAsia="Times New Roman" w:hAnsi="Arabic Transparent" w:cs="Arabic Transparent"/>
          <w:b/>
          <w:bCs/>
          <w:sz w:val="24"/>
          <w:szCs w:val="24"/>
          <w:rtl/>
        </w:rPr>
        <w:softHyphen/>
        <w:t>چنين به آن مضمون است که ما نبايد در زندگي جامعه</w:t>
      </w:r>
      <w:r w:rsidRPr="00C917DC">
        <w:rPr>
          <w:rFonts w:ascii="Arabic Transparent" w:eastAsia="Times New Roman" w:hAnsi="Arabic Transparent" w:cs="Arabic Transparent"/>
          <w:b/>
          <w:bCs/>
          <w:sz w:val="24"/>
          <w:szCs w:val="24"/>
          <w:rtl/>
        </w:rPr>
        <w:softHyphen/>
        <w:t>هاي فرهنگي ديگر مداخله کنيم.</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تيلور ليبراليسم معطوف به روش را پذيراي تفاوت‏ها نمي‏داند، چرا که اين نوع ليبراليسم تفاوت‏‏هاي فرهنگي و پي</w:t>
      </w:r>
      <w:r w:rsidRPr="00C917DC">
        <w:rPr>
          <w:rFonts w:ascii="Arabic Transparent" w:eastAsia="Times New Roman" w:hAnsi="Arabic Transparent" w:cs="Arabic Transparent"/>
          <w:b/>
          <w:bCs/>
          <w:sz w:val="24"/>
          <w:szCs w:val="24"/>
          <w:rtl/>
        </w:rPr>
        <w:softHyphen/>
        <w:t>گيري هدف</w:t>
      </w:r>
      <w:r w:rsidRPr="00C917DC">
        <w:rPr>
          <w:rFonts w:ascii="Arabic Transparent" w:eastAsia="Times New Roman" w:hAnsi="Arabic Transparent" w:cs="Arabic Transparent"/>
          <w:b/>
          <w:bCs/>
          <w:sz w:val="24"/>
          <w:szCs w:val="24"/>
          <w:rtl/>
        </w:rPr>
        <w:softHyphen/>
        <w:t>هاي جمعي را به حوزه خصوصي زندگي احاله مي‏دهد. اين در حالي است که در سياست به رسميت شناختن تفاوت‏‏هاي فرهنگي همه تفاوت‏ها در حوزه عمومي به رسميت شناخته مي‏شود. قرائت تيلور از ليبراليسم، به منظور در برگرفتن تفاوت‏‏هاي فرهنگي، پيشبرد اهداف جمعي فرهنگ‏ها توسط دولت‏ها را مشروعيت مي‏بخشد و انعطاف پذيري در اعمال قانون و حقوق افراد را مجاز مي‏شمرد. البته مسأله آن است که ما ممکن است مايل باشيم که برخي از جنبه</w:t>
      </w:r>
      <w:r w:rsidRPr="00C917DC">
        <w:rPr>
          <w:rFonts w:ascii="Arabic Transparent" w:eastAsia="Times New Roman" w:hAnsi="Arabic Transparent" w:cs="Arabic Transparent"/>
          <w:b/>
          <w:bCs/>
          <w:sz w:val="24"/>
          <w:szCs w:val="24"/>
          <w:rtl/>
        </w:rPr>
        <w:softHyphen/>
        <w:t>‏هاي مهم هويت</w:t>
      </w:r>
      <w:r w:rsidRPr="00C917DC">
        <w:rPr>
          <w:rFonts w:ascii="Arabic Transparent" w:eastAsia="Times New Roman" w:hAnsi="Arabic Transparent" w:cs="Arabic Transparent"/>
          <w:b/>
          <w:bCs/>
          <w:sz w:val="24"/>
          <w:szCs w:val="24"/>
          <w:rtl/>
        </w:rPr>
        <w:softHyphen/>
        <w:t>مان اموري خصوصي باقي بماند. نظريه تيلور تلاش براي بقاي فرهنگ‏ها را امري سياسي مي‏کند، حال آن</w:t>
      </w:r>
      <w:r w:rsidRPr="00C917DC">
        <w:rPr>
          <w:rFonts w:ascii="Arabic Transparent" w:eastAsia="Times New Roman" w:hAnsi="Arabic Transparent" w:cs="Arabic Transparent"/>
          <w:b/>
          <w:bCs/>
          <w:sz w:val="24"/>
          <w:szCs w:val="24"/>
          <w:rtl/>
        </w:rPr>
        <w:softHyphen/>
        <w:t>که اين تلاش ضرورتاً سياسي نيست. به علاوه سياست پذيرش تفاوت‏ها، اگرچه كوشش براي استمرار حيات فرهنگ‏ها توسط دولت را مجاز مي‏سازد، تنها به سود اقليت</w:t>
      </w:r>
      <w:r w:rsidRPr="00C917DC">
        <w:rPr>
          <w:rFonts w:ascii="Arabic Transparent" w:eastAsia="Times New Roman" w:hAnsi="Arabic Transparent" w:cs="Arabic Transparent"/>
          <w:b/>
          <w:bCs/>
          <w:sz w:val="24"/>
          <w:szCs w:val="24"/>
          <w:rtl/>
        </w:rPr>
        <w:softHyphen/>
        <w:t xml:space="preserve">هاي متمرکز است و نياز‏هاي اقليت‏هاي پراکنده را پاسخگو نيست.[13] بنابراين، ليبراليسم معطوف به روش، که بر "يک نظريه ضعيف از فضيلت"[14] بنا شده، بيشتر پذيراي نياز‏هاي اقليت‏هاي پراکنده است و کمتر نسبت به آن‏ها تبعيض روا مي‏دارد.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مشکل ديگر نظريه تيلور آن است که وي مي‏کوشد تا ضرورت سياست به رسميت شناختن تفاوت‏‏هاي فرهنگي را از طريق بحث‏هاي استعلايي، هم</w:t>
      </w:r>
      <w:r w:rsidRPr="00C917DC">
        <w:rPr>
          <w:rFonts w:ascii="Arabic Transparent" w:eastAsia="Times New Roman" w:hAnsi="Arabic Transparent" w:cs="Arabic Transparent"/>
          <w:b/>
          <w:bCs/>
          <w:sz w:val="24"/>
          <w:szCs w:val="24"/>
          <w:rtl/>
        </w:rPr>
        <w:softHyphen/>
        <w:t>چون ويژگي گفت و گويي هويت آدمي، اثبات کند، و اين در حالي است که وي خود به شدت نقدكننده نظريه</w:t>
      </w:r>
      <w:r w:rsidRPr="00C917DC">
        <w:rPr>
          <w:rFonts w:ascii="Arabic Transparent" w:eastAsia="Times New Roman" w:hAnsi="Arabic Transparent" w:cs="Arabic Transparent"/>
          <w:b/>
          <w:bCs/>
          <w:sz w:val="24"/>
          <w:szCs w:val="24"/>
          <w:rtl/>
        </w:rPr>
        <w:softHyphen/>
        <w:t>هاي اخلاقي جهان</w:t>
      </w:r>
      <w:r w:rsidRPr="00C917DC">
        <w:rPr>
          <w:rFonts w:ascii="Arabic Transparent" w:eastAsia="Times New Roman" w:hAnsi="Arabic Transparent" w:cs="Arabic Transparent"/>
          <w:b/>
          <w:bCs/>
          <w:sz w:val="24"/>
          <w:szCs w:val="24"/>
          <w:rtl/>
        </w:rPr>
        <w:softHyphen/>
        <w:t>شمولي است که به استدلال</w:t>
      </w:r>
      <w:r w:rsidRPr="00C917DC">
        <w:rPr>
          <w:rFonts w:ascii="Arabic Transparent" w:eastAsia="Times New Roman" w:hAnsi="Arabic Transparent" w:cs="Arabic Transparent"/>
          <w:b/>
          <w:bCs/>
          <w:sz w:val="24"/>
          <w:szCs w:val="24"/>
          <w:rtl/>
        </w:rPr>
        <w:softHyphen/>
        <w:t>هايي غيرتاريخي (</w:t>
      </w:r>
      <w:proofErr w:type="spellStart"/>
      <w:r w:rsidRPr="00C917DC">
        <w:rPr>
          <w:rFonts w:ascii="Arabic Transparent" w:eastAsia="Times New Roman" w:hAnsi="Arabic Transparent" w:cs="Arabic Transparent"/>
          <w:b/>
          <w:bCs/>
          <w:sz w:val="24"/>
          <w:szCs w:val="24"/>
        </w:rPr>
        <w:t>ahistorical</w:t>
      </w:r>
      <w:proofErr w:type="spellEnd"/>
      <w:r w:rsidRPr="00C917DC">
        <w:rPr>
          <w:rFonts w:ascii="Arabic Transparent" w:eastAsia="Times New Roman" w:hAnsi="Arabic Transparent" w:cs="Arabic Transparent"/>
          <w:b/>
          <w:bCs/>
          <w:sz w:val="24"/>
          <w:szCs w:val="24"/>
          <w:rtl/>
        </w:rPr>
        <w:t>) و فرافرهنگي(</w:t>
      </w:r>
      <w:r w:rsidRPr="00C917DC">
        <w:rPr>
          <w:rFonts w:ascii="Arabic Transparent" w:eastAsia="Times New Roman" w:hAnsi="Arabic Transparent" w:cs="Arabic Transparent"/>
          <w:b/>
          <w:bCs/>
          <w:sz w:val="24"/>
          <w:szCs w:val="24"/>
        </w:rPr>
        <w:t>trans-cultural</w:t>
      </w:r>
      <w:r w:rsidRPr="00C917DC">
        <w:rPr>
          <w:rFonts w:ascii="Arabic Transparent" w:eastAsia="Times New Roman" w:hAnsi="Arabic Transparent" w:cs="Arabic Transparent"/>
          <w:b/>
          <w:bCs/>
          <w:sz w:val="24"/>
          <w:szCs w:val="24"/>
          <w:rtl/>
        </w:rPr>
        <w:t>) دست مي‏يازند. مهمتر آن</w:t>
      </w:r>
      <w:r w:rsidRPr="00C917DC">
        <w:rPr>
          <w:rFonts w:ascii="Arabic Transparent" w:eastAsia="Times New Roman" w:hAnsi="Arabic Transparent" w:cs="Arabic Transparent"/>
          <w:b/>
          <w:bCs/>
          <w:sz w:val="24"/>
          <w:szCs w:val="24"/>
          <w:rtl/>
        </w:rPr>
        <w:softHyphen/>
        <w:t>که، تيلور نمي‏تواند به گونه</w:t>
      </w:r>
      <w:r w:rsidRPr="00C917DC">
        <w:rPr>
          <w:rFonts w:ascii="Arabic Transparent" w:eastAsia="Times New Roman" w:hAnsi="Arabic Transparent" w:cs="Arabic Transparent"/>
          <w:b/>
          <w:bCs/>
          <w:sz w:val="24"/>
          <w:szCs w:val="24"/>
          <w:rtl/>
        </w:rPr>
        <w:softHyphen/>
        <w:t>اي قانع کننده ثابت کند که ويژگي گفت و گويي شکل</w:t>
      </w:r>
      <w:r w:rsidRPr="00C917DC">
        <w:rPr>
          <w:rFonts w:ascii="Arabic Transparent" w:eastAsia="Times New Roman" w:hAnsi="Arabic Transparent" w:cs="Arabic Transparent"/>
          <w:b/>
          <w:bCs/>
          <w:sz w:val="24"/>
          <w:szCs w:val="24"/>
          <w:rtl/>
        </w:rPr>
        <w:softHyphen/>
        <w:t>گيري هويت فرد، به عنوان يک خصوصيت استعلايي حيات بشري، وظيفه اخلاقي و سياسي ما را در به رسميت شناختن تفاوت‏‏هاي فرهنگي ايجاب مي‏کند. يک حلقه مفقوده منطقي بين ضرورت به رسميت شناختن تفاوت‏ها و ويژگي گفت و گويي هويت آدمي‏ وجود دارد. به رسميت شناختن تفاوت‏‏هاي فرهنگي اصولاً وظيفه</w:t>
      </w:r>
      <w:r w:rsidRPr="00C917DC">
        <w:rPr>
          <w:rFonts w:ascii="Arabic Transparent" w:eastAsia="Times New Roman" w:hAnsi="Arabic Transparent" w:cs="Arabic Transparent"/>
          <w:b/>
          <w:bCs/>
          <w:sz w:val="24"/>
          <w:szCs w:val="24"/>
          <w:rtl/>
        </w:rPr>
        <w:softHyphen/>
        <w:t>اي اخلاقي است که ما مديون انسان‏ها هستيم، وظيفه</w:t>
      </w:r>
      <w:r w:rsidRPr="00C917DC">
        <w:rPr>
          <w:rFonts w:ascii="Arabic Transparent" w:eastAsia="Times New Roman" w:hAnsi="Arabic Transparent" w:cs="Arabic Transparent"/>
          <w:b/>
          <w:bCs/>
          <w:sz w:val="24"/>
          <w:szCs w:val="24"/>
          <w:rtl/>
        </w:rPr>
        <w:softHyphen/>
        <w:t>اي که البته محصول دانش ما از نحوه شکل</w:t>
      </w:r>
      <w:r w:rsidRPr="00C917DC">
        <w:rPr>
          <w:rFonts w:ascii="Arabic Transparent" w:eastAsia="Times New Roman" w:hAnsi="Arabic Transparent" w:cs="Arabic Transparent"/>
          <w:b/>
          <w:bCs/>
          <w:sz w:val="24"/>
          <w:szCs w:val="24"/>
          <w:rtl/>
        </w:rPr>
        <w:softHyphen/>
        <w:t>گيري هويت آدمي است. به رسميت شناختن فرهنگ‏ها و هويت‏هاي متفاوت اساساً به معني به رسميت شناختن اموري است که انسان‏ها گرامي مي‏شمرند. براي آن</w:t>
      </w:r>
      <w:r w:rsidRPr="00C917DC">
        <w:rPr>
          <w:rFonts w:ascii="Arabic Transparent" w:eastAsia="Times New Roman" w:hAnsi="Arabic Transparent" w:cs="Arabic Transparent"/>
          <w:b/>
          <w:bCs/>
          <w:sz w:val="24"/>
          <w:szCs w:val="24"/>
          <w:rtl/>
        </w:rPr>
        <w:softHyphen/>
        <w:t>که استدلال تيلور در محدود کردن سياست به رسميت شناختن بر مبناي حقوق بنيادين را بپذيريم، لازم است که به رسميت شناختن تفاوت‏ها را از ويژگي گفت و گويي هويت آدمي مستقل بدانيم. اين تفکيک هم</w:t>
      </w:r>
      <w:r w:rsidRPr="00C917DC">
        <w:rPr>
          <w:rFonts w:ascii="Arabic Transparent" w:eastAsia="Times New Roman" w:hAnsi="Arabic Transparent" w:cs="Arabic Transparent"/>
          <w:b/>
          <w:bCs/>
          <w:sz w:val="24"/>
          <w:szCs w:val="24"/>
          <w:rtl/>
        </w:rPr>
        <w:softHyphen/>
        <w:t>چنين بدان جهت ضروري است که به رسميت شناختن يک فرهنگ را به ارزشمندي آن، چنان که گاهي از مضمون نظريه</w:t>
      </w:r>
      <w:r w:rsidRPr="00C917DC">
        <w:rPr>
          <w:rFonts w:ascii="Arabic Transparent" w:eastAsia="Times New Roman" w:hAnsi="Arabic Transparent" w:cs="Arabic Transparent"/>
          <w:b/>
          <w:bCs/>
          <w:sz w:val="24"/>
          <w:szCs w:val="24"/>
          <w:rtl/>
        </w:rPr>
        <w:softHyphen/>
        <w:t xml:space="preserve">هاي تيلور بر مي‏آيد، منوط نسازيم. </w:t>
      </w:r>
    </w:p>
    <w:p w:rsidR="00C917DC" w:rsidRPr="00C917DC" w:rsidRDefault="00C917DC" w:rsidP="00C917D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917DC">
        <w:rPr>
          <w:rFonts w:ascii="Arabic Transparent" w:eastAsia="Times New Roman" w:hAnsi="Arabic Transparent" w:cs="Arabic Transparent"/>
          <w:b/>
          <w:bCs/>
          <w:sz w:val="27"/>
          <w:szCs w:val="27"/>
          <w:rtl/>
        </w:rPr>
        <w:t>منابع:</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1_ </w:t>
      </w:r>
      <w:proofErr w:type="spellStart"/>
      <w:r w:rsidRPr="00C917DC">
        <w:rPr>
          <w:rFonts w:ascii="Arabic Transparent" w:eastAsia="Times New Roman" w:hAnsi="Arabic Transparent" w:cs="Arabic Transparent"/>
          <w:b/>
          <w:bCs/>
          <w:sz w:val="24"/>
          <w:szCs w:val="24"/>
        </w:rPr>
        <w:t>Appiah</w:t>
      </w:r>
      <w:proofErr w:type="spellEnd"/>
      <w:r w:rsidRPr="00C917DC">
        <w:rPr>
          <w:rFonts w:ascii="Arabic Transparent" w:eastAsia="Times New Roman" w:hAnsi="Arabic Transparent" w:cs="Arabic Transparent"/>
          <w:b/>
          <w:bCs/>
          <w:sz w:val="24"/>
          <w:szCs w:val="24"/>
        </w:rPr>
        <w:t>, K. Anthony, “Identity, Authenticity, Survival: Multicultural</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Societies and Social Reproduction,” Multiculturalism and “The Politics of</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 xml:space="preserve">Recognition”, in Amy </w:t>
      </w:r>
      <w:proofErr w:type="spellStart"/>
      <w:r w:rsidRPr="00C917DC">
        <w:rPr>
          <w:rFonts w:ascii="Arabic Transparent" w:eastAsia="Times New Roman" w:hAnsi="Arabic Transparent" w:cs="Arabic Transparent"/>
          <w:b/>
          <w:bCs/>
          <w:sz w:val="24"/>
          <w:szCs w:val="24"/>
        </w:rPr>
        <w:t>Gutmann</w:t>
      </w:r>
      <w:proofErr w:type="spellEnd"/>
      <w:r w:rsidRPr="00C917DC">
        <w:rPr>
          <w:rFonts w:ascii="Arabic Transparent" w:eastAsia="Times New Roman" w:hAnsi="Arabic Transparent" w:cs="Arabic Transparent"/>
          <w:b/>
          <w:bCs/>
          <w:sz w:val="24"/>
          <w:szCs w:val="24"/>
        </w:rPr>
        <w:t xml:space="preserve"> (ed.), 2nd ed., (Princeton: Princeton University</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Press, 1994</w:t>
      </w:r>
      <w:r w:rsidRPr="00C917DC">
        <w:rPr>
          <w:rFonts w:ascii="Arabic Transparent" w:eastAsia="Times New Roman" w:hAnsi="Arabic Transparent" w:cs="Arabic Transparent"/>
          <w:b/>
          <w:bCs/>
          <w:sz w:val="24"/>
          <w:szCs w:val="24"/>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2_ </w:t>
      </w:r>
      <w:r w:rsidRPr="00C917DC">
        <w:rPr>
          <w:rFonts w:ascii="Arabic Transparent" w:eastAsia="Times New Roman" w:hAnsi="Arabic Transparent" w:cs="Arabic Transparent"/>
          <w:b/>
          <w:bCs/>
          <w:sz w:val="24"/>
          <w:szCs w:val="24"/>
        </w:rPr>
        <w:t xml:space="preserve">Connolly, William, “Pluralism, Multiculturalism and the </w:t>
      </w:r>
      <w:proofErr w:type="spellStart"/>
      <w:r w:rsidRPr="00C917DC">
        <w:rPr>
          <w:rFonts w:ascii="Arabic Transparent" w:eastAsia="Times New Roman" w:hAnsi="Arabic Transparent" w:cs="Arabic Transparent"/>
          <w:b/>
          <w:bCs/>
          <w:sz w:val="24"/>
          <w:szCs w:val="24"/>
        </w:rPr>
        <w:t>Nation_State</w:t>
      </w:r>
      <w:proofErr w:type="spellEnd"/>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Rethinking the Connections,” Journal of Political Ideologies, vol. 1, no. 1</w:t>
      </w:r>
      <w:r w:rsidRPr="00C917DC">
        <w:rPr>
          <w:rFonts w:ascii="Arabic Transparent" w:eastAsia="Times New Roman" w:hAnsi="Arabic Transparent" w:cs="Arabic Transparent"/>
          <w:b/>
          <w:bCs/>
          <w:sz w:val="24"/>
          <w:szCs w:val="24"/>
          <w:rtl/>
        </w:rPr>
        <w:t xml:space="preserve">, (1996), </w:t>
      </w:r>
      <w:r w:rsidRPr="00C917DC">
        <w:rPr>
          <w:rFonts w:ascii="Arabic Transparent" w:eastAsia="Times New Roman" w:hAnsi="Arabic Transparent" w:cs="Arabic Transparent"/>
          <w:b/>
          <w:bCs/>
          <w:sz w:val="24"/>
          <w:szCs w:val="24"/>
        </w:rPr>
        <w:t>Journal of Political Ideologies, 1996</w:t>
      </w:r>
      <w:proofErr w:type="gramStart"/>
      <w:r w:rsidRPr="00C917DC">
        <w:rPr>
          <w:rFonts w:ascii="Arabic Transparent" w:eastAsia="Times New Roman" w:hAnsi="Arabic Transparent" w:cs="Arabic Transparent"/>
          <w:b/>
          <w:bCs/>
          <w:sz w:val="24"/>
          <w:szCs w:val="24"/>
        </w:rPr>
        <w:t>,1</w:t>
      </w:r>
      <w:proofErr w:type="gramEnd"/>
      <w:r w:rsidRPr="00C917DC">
        <w:rPr>
          <w:rFonts w:ascii="Arabic Transparent" w:eastAsia="Times New Roman" w:hAnsi="Arabic Transparent" w:cs="Arabic Transparent"/>
          <w:b/>
          <w:bCs/>
          <w:sz w:val="24"/>
          <w:szCs w:val="24"/>
        </w:rPr>
        <w:t>(1</w:t>
      </w:r>
      <w:r w:rsidRPr="00C917DC">
        <w:rPr>
          <w:rFonts w:ascii="Arabic Transparent" w:eastAsia="Times New Roman" w:hAnsi="Arabic Transparent" w:cs="Arabic Transparent"/>
          <w:b/>
          <w:bCs/>
          <w:sz w:val="24"/>
          <w:szCs w:val="24"/>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3_ </w:t>
      </w:r>
      <w:r w:rsidRPr="00C917DC">
        <w:rPr>
          <w:rFonts w:ascii="Arabic Transparent" w:eastAsia="Times New Roman" w:hAnsi="Arabic Transparent" w:cs="Arabic Transparent"/>
          <w:b/>
          <w:bCs/>
          <w:sz w:val="24"/>
          <w:szCs w:val="24"/>
        </w:rPr>
        <w:t>Taylor, Charles, Hegel, (Cambridge: Cambridge University Press,1975</w:t>
      </w:r>
      <w:r w:rsidRPr="00C917DC">
        <w:rPr>
          <w:rFonts w:ascii="Arabic Transparent" w:eastAsia="Times New Roman" w:hAnsi="Arabic Transparent" w:cs="Arabic Transparent"/>
          <w:b/>
          <w:bCs/>
          <w:sz w:val="24"/>
          <w:szCs w:val="24"/>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lastRenderedPageBreak/>
        <w:t>4_ _________, “</w:t>
      </w:r>
      <w:r w:rsidRPr="00C917DC">
        <w:rPr>
          <w:rFonts w:ascii="Arabic Transparent" w:eastAsia="Times New Roman" w:hAnsi="Arabic Transparent" w:cs="Arabic Transparent"/>
          <w:b/>
          <w:bCs/>
          <w:sz w:val="24"/>
          <w:szCs w:val="24"/>
        </w:rPr>
        <w:t>The Politics of Recognition,” Multiculturalism and “The</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 xml:space="preserve">Politics of Recognition,” Amy </w:t>
      </w:r>
      <w:proofErr w:type="spellStart"/>
      <w:r w:rsidRPr="00C917DC">
        <w:rPr>
          <w:rFonts w:ascii="Arabic Transparent" w:eastAsia="Times New Roman" w:hAnsi="Arabic Transparent" w:cs="Arabic Transparent"/>
          <w:b/>
          <w:bCs/>
          <w:sz w:val="24"/>
          <w:szCs w:val="24"/>
        </w:rPr>
        <w:t>Gutmann</w:t>
      </w:r>
      <w:proofErr w:type="spellEnd"/>
      <w:r w:rsidRPr="00C917DC">
        <w:rPr>
          <w:rFonts w:ascii="Arabic Transparent" w:eastAsia="Times New Roman" w:hAnsi="Arabic Transparent" w:cs="Arabic Transparent"/>
          <w:b/>
          <w:bCs/>
          <w:sz w:val="24"/>
          <w:szCs w:val="24"/>
        </w:rPr>
        <w:t xml:space="preserve"> (ed.),Princeton, Princeton University</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Press</w:t>
      </w:r>
      <w:proofErr w:type="gramStart"/>
      <w:r w:rsidRPr="00C917DC">
        <w:rPr>
          <w:rFonts w:ascii="Arabic Transparent" w:eastAsia="Times New Roman" w:hAnsi="Arabic Transparent" w:cs="Arabic Transparent"/>
          <w:b/>
          <w:bCs/>
          <w:sz w:val="24"/>
          <w:szCs w:val="24"/>
          <w:rtl/>
        </w:rPr>
        <w:t>:.</w:t>
      </w:r>
      <w:proofErr w:type="gramEnd"/>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5_ _________, </w:t>
      </w:r>
      <w:r w:rsidRPr="00C917DC">
        <w:rPr>
          <w:rFonts w:ascii="Arabic Transparent" w:eastAsia="Times New Roman" w:hAnsi="Arabic Transparent" w:cs="Arabic Transparent"/>
          <w:b/>
          <w:bCs/>
          <w:sz w:val="24"/>
          <w:szCs w:val="24"/>
        </w:rPr>
        <w:t>Sources of the Self, Cambridge: Cambridge University Press</w:t>
      </w:r>
      <w:r w:rsidRPr="00C917DC">
        <w:rPr>
          <w:rFonts w:ascii="Arabic Transparent" w:eastAsia="Times New Roman" w:hAnsi="Arabic Transparent" w:cs="Arabic Transparent"/>
          <w:b/>
          <w:bCs/>
          <w:sz w:val="24"/>
          <w:szCs w:val="24"/>
          <w:rtl/>
        </w:rPr>
        <w:t>, 1989.</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6_ _________, </w:t>
      </w:r>
      <w:r w:rsidRPr="00C917DC">
        <w:rPr>
          <w:rFonts w:ascii="Arabic Transparent" w:eastAsia="Times New Roman" w:hAnsi="Arabic Transparent" w:cs="Arabic Transparent"/>
          <w:b/>
          <w:bCs/>
          <w:sz w:val="24"/>
          <w:szCs w:val="24"/>
        </w:rPr>
        <w:t>The Ethics of Authenticity, (Cambridge: Harvard University</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Press, 1991</w:t>
      </w:r>
      <w:r w:rsidRPr="00C917DC">
        <w:rPr>
          <w:rFonts w:ascii="Arabic Transparent" w:eastAsia="Times New Roman" w:hAnsi="Arabic Transparent" w:cs="Arabic Transparent"/>
          <w:b/>
          <w:bCs/>
          <w:sz w:val="24"/>
          <w:szCs w:val="24"/>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7_ _________, </w:t>
      </w:r>
      <w:r w:rsidRPr="00C917DC">
        <w:rPr>
          <w:rFonts w:ascii="Arabic Transparent" w:eastAsia="Times New Roman" w:hAnsi="Arabic Transparent" w:cs="Arabic Transparent"/>
          <w:b/>
          <w:bCs/>
          <w:sz w:val="24"/>
          <w:szCs w:val="24"/>
        </w:rPr>
        <w:t>Philosophy and the Human Sciences: Philosophical Papers 2</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Cambridge: Cambridge University Press, 1995</w:t>
      </w:r>
      <w:r w:rsidRPr="00C917DC">
        <w:rPr>
          <w:rFonts w:ascii="Arabic Transparent" w:eastAsia="Times New Roman" w:hAnsi="Arabic Transparent" w:cs="Arabic Transparent"/>
          <w:b/>
          <w:bCs/>
          <w:sz w:val="24"/>
          <w:szCs w:val="24"/>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8_ ___________, </w:t>
      </w:r>
      <w:r w:rsidRPr="00C917DC">
        <w:rPr>
          <w:rFonts w:ascii="Arabic Transparent" w:eastAsia="Times New Roman" w:hAnsi="Arabic Transparent" w:cs="Arabic Transparent"/>
          <w:b/>
          <w:bCs/>
          <w:sz w:val="24"/>
          <w:szCs w:val="24"/>
        </w:rPr>
        <w:t>Philosophical Arguments Cambridge Massachusetts, Harvard</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University Press, 1997</w:t>
      </w:r>
      <w:r w:rsidRPr="00C917DC">
        <w:rPr>
          <w:rFonts w:ascii="Arabic Transparent" w:eastAsia="Times New Roman" w:hAnsi="Arabic Transparent" w:cs="Arabic Transparent"/>
          <w:b/>
          <w:bCs/>
          <w:sz w:val="24"/>
          <w:szCs w:val="24"/>
          <w:rtl/>
        </w:rPr>
        <w:t>.</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9_ </w:t>
      </w:r>
      <w:r w:rsidRPr="00C917DC">
        <w:rPr>
          <w:rFonts w:ascii="Arabic Transparent" w:eastAsia="Times New Roman" w:hAnsi="Arabic Transparent" w:cs="Arabic Transparent"/>
          <w:b/>
          <w:bCs/>
          <w:sz w:val="24"/>
          <w:szCs w:val="24"/>
        </w:rPr>
        <w:t>Wolf, Susan, “Comment,” Multiculturalism and “The Politics of</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 xml:space="preserve">Recognition”, Amy </w:t>
      </w:r>
      <w:proofErr w:type="spellStart"/>
      <w:r w:rsidRPr="00C917DC">
        <w:rPr>
          <w:rFonts w:ascii="Arabic Transparent" w:eastAsia="Times New Roman" w:hAnsi="Arabic Transparent" w:cs="Arabic Transparent"/>
          <w:b/>
          <w:bCs/>
          <w:sz w:val="24"/>
          <w:szCs w:val="24"/>
        </w:rPr>
        <w:t>Gutmann</w:t>
      </w:r>
      <w:proofErr w:type="spellEnd"/>
      <w:r w:rsidRPr="00C917DC">
        <w:rPr>
          <w:rFonts w:ascii="Arabic Transparent" w:eastAsia="Times New Roman" w:hAnsi="Arabic Transparent" w:cs="Arabic Transparent"/>
          <w:b/>
          <w:bCs/>
          <w:sz w:val="24"/>
          <w:szCs w:val="24"/>
        </w:rPr>
        <w:t xml:space="preserve"> (ed.), Princeton: Princeton University Press</w:t>
      </w:r>
      <w:r w:rsidRPr="00C917DC">
        <w:rPr>
          <w:rFonts w:ascii="Arabic Transparent" w:eastAsia="Times New Roman" w:hAnsi="Arabic Transparent" w:cs="Arabic Transparent"/>
          <w:b/>
          <w:bCs/>
          <w:sz w:val="24"/>
          <w:szCs w:val="24"/>
          <w:rtl/>
        </w:rPr>
        <w:t>, 1992.</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10_ حسيني بهشتي، سيد عليرضا، بنياد نظري سياست در جوامع چند فرهنگي، تهران, بقعه_ گفتمان 1381.</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____________________________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1_ من از پروفسور </w:t>
      </w:r>
      <w:proofErr w:type="spellStart"/>
      <w:r w:rsidRPr="00C917DC">
        <w:rPr>
          <w:rFonts w:ascii="Arabic Transparent" w:eastAsia="Times New Roman" w:hAnsi="Arabic Transparent" w:cs="Arabic Transparent"/>
          <w:b/>
          <w:bCs/>
          <w:sz w:val="24"/>
          <w:szCs w:val="24"/>
        </w:rPr>
        <w:t>Bhikhu</w:t>
      </w:r>
      <w:proofErr w:type="spellEnd"/>
      <w:r w:rsidRPr="00C917DC">
        <w:rPr>
          <w:rFonts w:ascii="Arabic Transparent" w:eastAsia="Times New Roman" w:hAnsi="Arabic Transparent" w:cs="Arabic Transparent"/>
          <w:b/>
          <w:bCs/>
          <w:sz w:val="24"/>
          <w:szCs w:val="24"/>
        </w:rPr>
        <w:t xml:space="preserve"> Parekh</w:t>
      </w:r>
      <w:r w:rsidRPr="00C917DC">
        <w:rPr>
          <w:rFonts w:ascii="Arabic Transparent" w:eastAsia="Times New Roman" w:hAnsi="Arabic Transparent" w:cs="Arabic Transparent"/>
          <w:b/>
          <w:bCs/>
          <w:sz w:val="24"/>
          <w:szCs w:val="24"/>
          <w:rtl/>
        </w:rPr>
        <w:t>، استاد راهنماي پايان</w:t>
      </w:r>
      <w:r w:rsidRPr="00C917DC">
        <w:rPr>
          <w:rFonts w:ascii="Arabic Transparent" w:eastAsia="Times New Roman" w:hAnsi="Arabic Transparent" w:cs="Arabic Transparent"/>
          <w:b/>
          <w:bCs/>
          <w:sz w:val="24"/>
          <w:szCs w:val="24"/>
          <w:rtl/>
        </w:rPr>
        <w:softHyphen/>
        <w:t>نامه دکتري خود، که اين مقاله بخشي از آن است، سپاس</w:t>
      </w:r>
      <w:r w:rsidRPr="00C917DC">
        <w:rPr>
          <w:rFonts w:ascii="Arabic Transparent" w:eastAsia="Times New Roman" w:hAnsi="Arabic Transparent" w:cs="Arabic Transparent"/>
          <w:b/>
          <w:bCs/>
          <w:sz w:val="24"/>
          <w:szCs w:val="24"/>
          <w:rtl/>
        </w:rPr>
        <w:softHyphen/>
        <w:t>گزارم. هم</w:t>
      </w:r>
      <w:r w:rsidRPr="00C917DC">
        <w:rPr>
          <w:rFonts w:ascii="Arabic Transparent" w:eastAsia="Times New Roman" w:hAnsi="Arabic Transparent" w:cs="Arabic Transparent"/>
          <w:b/>
          <w:bCs/>
          <w:sz w:val="24"/>
          <w:szCs w:val="24"/>
          <w:rtl/>
        </w:rPr>
        <w:softHyphen/>
        <w:t>چنين، از پروفسور</w:t>
      </w:r>
      <w:r w:rsidRPr="00C917DC">
        <w:rPr>
          <w:rFonts w:ascii="Arabic Transparent" w:eastAsia="Times New Roman" w:hAnsi="Arabic Transparent" w:cs="Arabic Transparent"/>
          <w:b/>
          <w:bCs/>
          <w:sz w:val="24"/>
          <w:szCs w:val="24"/>
        </w:rPr>
        <w:t>Noel O’Sullivan</w:t>
      </w:r>
      <w:r w:rsidRPr="00C917DC">
        <w:rPr>
          <w:rFonts w:ascii="Arabic Transparent" w:eastAsia="Times New Roman" w:hAnsi="Arabic Transparent" w:cs="Arabic Transparent"/>
          <w:b/>
          <w:bCs/>
          <w:sz w:val="24"/>
          <w:szCs w:val="24"/>
          <w:rtl/>
        </w:rPr>
        <w:t xml:space="preserve"> ، که برگردان انگليسي اين مقاله را مطالعه و نظرات خود را در مورد آن بيان کرده است، متشکرم. از دکتر رامين خانبگي نيز که مرا در يافتن معادل</w:t>
      </w:r>
      <w:r w:rsidRPr="00C917DC">
        <w:rPr>
          <w:rFonts w:ascii="Arabic Transparent" w:eastAsia="Times New Roman" w:hAnsi="Arabic Transparent" w:cs="Arabic Transparent"/>
          <w:b/>
          <w:bCs/>
          <w:sz w:val="24"/>
          <w:szCs w:val="24"/>
          <w:rtl/>
        </w:rPr>
        <w:softHyphen/>
        <w:t>هاي فارسي برخي واژه</w:t>
      </w:r>
      <w:r w:rsidRPr="00C917DC">
        <w:rPr>
          <w:rFonts w:ascii="Arabic Transparent" w:eastAsia="Times New Roman" w:hAnsi="Arabic Transparent" w:cs="Arabic Transparent"/>
          <w:b/>
          <w:bCs/>
          <w:sz w:val="24"/>
          <w:szCs w:val="24"/>
          <w:rtl/>
        </w:rPr>
        <w:softHyphen/>
        <w:t xml:space="preserve">هاي تخصصي ياري داد، ممنونم.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2_ استاديار گروه علوم سياسي دانشگاه فردوسي مشهد و استاد مدعو در دانشگاه مفيد.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3_ به نظر مي</w:t>
      </w:r>
      <w:r w:rsidRPr="00C917DC">
        <w:rPr>
          <w:rFonts w:ascii="Arabic Transparent" w:eastAsia="Times New Roman" w:hAnsi="Arabic Transparent" w:cs="Arabic Transparent"/>
          <w:b/>
          <w:bCs/>
          <w:sz w:val="24"/>
          <w:szCs w:val="24"/>
          <w:rtl/>
        </w:rPr>
        <w:softHyphen/>
        <w:t>رسد که عبارت "به رسميت شناختن"، در مقايسه با "شناسايي" معادلي مناسب</w:t>
      </w:r>
      <w:r w:rsidRPr="00C917DC">
        <w:rPr>
          <w:rFonts w:ascii="Arabic Transparent" w:eastAsia="Times New Roman" w:hAnsi="Arabic Transparent" w:cs="Arabic Transparent"/>
          <w:b/>
          <w:bCs/>
          <w:sz w:val="24"/>
          <w:szCs w:val="24"/>
          <w:rtl/>
        </w:rPr>
        <w:softHyphen/>
        <w:t xml:space="preserve">تر براي </w:t>
      </w:r>
      <w:r w:rsidRPr="00C917DC">
        <w:rPr>
          <w:rFonts w:ascii="Arabic Transparent" w:eastAsia="Times New Roman" w:hAnsi="Arabic Transparent" w:cs="Arabic Transparent"/>
          <w:b/>
          <w:bCs/>
          <w:sz w:val="24"/>
          <w:szCs w:val="24"/>
        </w:rPr>
        <w:t>recognition</w:t>
      </w:r>
      <w:r w:rsidRPr="00C917DC">
        <w:rPr>
          <w:rFonts w:ascii="Arabic Transparent" w:eastAsia="Times New Roman" w:hAnsi="Arabic Transparent" w:cs="Arabic Transparent"/>
          <w:b/>
          <w:bCs/>
          <w:sz w:val="24"/>
          <w:szCs w:val="24"/>
          <w:rtl/>
        </w:rPr>
        <w:t xml:space="preserve"> باشد، چرا که مراد از </w:t>
      </w:r>
      <w:r w:rsidRPr="00C917DC">
        <w:rPr>
          <w:rFonts w:ascii="Arabic Transparent" w:eastAsia="Times New Roman" w:hAnsi="Arabic Transparent" w:cs="Arabic Transparent"/>
          <w:b/>
          <w:bCs/>
          <w:sz w:val="24"/>
          <w:szCs w:val="24"/>
        </w:rPr>
        <w:t>recognition</w:t>
      </w:r>
      <w:r w:rsidRPr="00C917DC">
        <w:rPr>
          <w:rFonts w:ascii="Arabic Transparent" w:eastAsia="Times New Roman" w:hAnsi="Arabic Transparent" w:cs="Arabic Transparent"/>
          <w:b/>
          <w:bCs/>
          <w:sz w:val="24"/>
          <w:szCs w:val="24"/>
          <w:rtl/>
        </w:rPr>
        <w:t xml:space="preserve"> نوعي از شناسايي است که الزام</w:t>
      </w:r>
      <w:r w:rsidRPr="00C917DC">
        <w:rPr>
          <w:rFonts w:ascii="Arabic Transparent" w:eastAsia="Times New Roman" w:hAnsi="Arabic Transparent" w:cs="Arabic Transparent"/>
          <w:b/>
          <w:bCs/>
          <w:sz w:val="24"/>
          <w:szCs w:val="24"/>
          <w:rtl/>
        </w:rPr>
        <w:softHyphen/>
        <w:t>هاي اخلاقي يا حقوقي به دنبال دارد. براي مثال، در عبارت</w:t>
      </w:r>
      <w:r w:rsidRPr="00C917DC">
        <w:rPr>
          <w:rFonts w:ascii="Arabic Transparent" w:eastAsia="Times New Roman" w:hAnsi="Arabic Transparent" w:cs="Arabic Transparent"/>
          <w:b/>
          <w:bCs/>
          <w:sz w:val="24"/>
          <w:szCs w:val="24"/>
        </w:rPr>
        <w:t>recognition of</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cultural differences</w:t>
      </w:r>
      <w:r w:rsidRPr="00C917DC">
        <w:rPr>
          <w:rFonts w:ascii="Arabic Transparent" w:eastAsia="Times New Roman" w:hAnsi="Arabic Transparent" w:cs="Arabic Transparent"/>
          <w:b/>
          <w:bCs/>
          <w:sz w:val="24"/>
          <w:szCs w:val="24"/>
          <w:rtl/>
        </w:rPr>
        <w:t xml:space="preserve"> مراد فقط شناسايي يا دانستن تفاوت‏هاي فرهنگي نيست، بلکه مراد آن است که اين تفاوت</w:t>
      </w:r>
      <w:r w:rsidRPr="00C917DC">
        <w:rPr>
          <w:rFonts w:ascii="Arabic Transparent" w:eastAsia="Times New Roman" w:hAnsi="Arabic Transparent" w:cs="Arabic Transparent"/>
          <w:b/>
          <w:bCs/>
          <w:sz w:val="24"/>
          <w:szCs w:val="24"/>
          <w:rtl/>
        </w:rPr>
        <w:softHyphen/>
        <w:t xml:space="preserve">ها از لحاظ اخلاقي يا حقوقي به رسميت شناخته شوند.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4_ </w:t>
      </w:r>
      <w:r w:rsidRPr="00C917DC">
        <w:rPr>
          <w:rFonts w:ascii="Arabic Transparent" w:eastAsia="Times New Roman" w:hAnsi="Arabic Transparent" w:cs="Arabic Transparent"/>
          <w:b/>
          <w:bCs/>
          <w:sz w:val="24"/>
          <w:szCs w:val="24"/>
        </w:rPr>
        <w:t>The dialogical character of the self</w:t>
      </w:r>
      <w:r w:rsidRPr="00C917DC">
        <w:rPr>
          <w:rFonts w:ascii="Arabic Transparent" w:eastAsia="Times New Roman" w:hAnsi="Arabic Transparent" w:cs="Arabic Transparent"/>
          <w:b/>
          <w:bCs/>
          <w:sz w:val="24"/>
          <w:szCs w:val="24"/>
          <w:rtl/>
        </w:rPr>
        <w:t xml:space="preserve"> منظور تيلور از وضع اين اصطلاح، آن است که انسان بودن يا خويشتن بودن آدمي تنها در ارتباط با ديگران است که شکل مي</w:t>
      </w:r>
      <w:r w:rsidRPr="00C917DC">
        <w:rPr>
          <w:rFonts w:ascii="Arabic Transparent" w:eastAsia="Times New Roman" w:hAnsi="Arabic Transparent" w:cs="Arabic Transparent"/>
          <w:b/>
          <w:bCs/>
          <w:sz w:val="24"/>
          <w:szCs w:val="24"/>
          <w:rtl/>
        </w:rPr>
        <w:softHyphen/>
        <w:t xml:space="preserve">گيرد. در اين مقاله واژه «گفت و گويي» به عنوان معادل </w:t>
      </w:r>
      <w:r w:rsidRPr="00C917DC">
        <w:rPr>
          <w:rFonts w:ascii="Arabic Transparent" w:eastAsia="Times New Roman" w:hAnsi="Arabic Transparent" w:cs="Arabic Transparent"/>
          <w:b/>
          <w:bCs/>
          <w:sz w:val="24"/>
          <w:szCs w:val="24"/>
        </w:rPr>
        <w:t>dialogical</w:t>
      </w:r>
      <w:r w:rsidRPr="00C917DC">
        <w:rPr>
          <w:rFonts w:ascii="Arabic Transparent" w:eastAsia="Times New Roman" w:hAnsi="Arabic Transparent" w:cs="Arabic Transparent"/>
          <w:b/>
          <w:bCs/>
          <w:sz w:val="24"/>
          <w:szCs w:val="24"/>
          <w:rtl/>
        </w:rPr>
        <w:t xml:space="preserve"> انتخاب شده است که ترجمه تحت</w:t>
      </w:r>
      <w:r w:rsidRPr="00C917DC">
        <w:rPr>
          <w:rFonts w:ascii="Arabic Transparent" w:eastAsia="Times New Roman" w:hAnsi="Arabic Transparent" w:cs="Arabic Transparent"/>
          <w:b/>
          <w:bCs/>
          <w:sz w:val="24"/>
          <w:szCs w:val="24"/>
          <w:rtl/>
        </w:rPr>
        <w:softHyphen/>
        <w:t>اللفظي آن است. افزون بر اين، واژه «گفت و گويي» هم دو سويه بودن ارتباط مورد نظر تيلور را مي</w:t>
      </w:r>
      <w:r w:rsidRPr="00C917DC">
        <w:rPr>
          <w:rFonts w:ascii="Arabic Transparent" w:eastAsia="Times New Roman" w:hAnsi="Arabic Transparent" w:cs="Arabic Transparent"/>
          <w:b/>
          <w:bCs/>
          <w:sz w:val="24"/>
          <w:szCs w:val="24"/>
          <w:rtl/>
        </w:rPr>
        <w:softHyphen/>
        <w:t>رساند و هم نقش زبان را در اين رابطه مورد تأکيد قرار مي</w:t>
      </w:r>
      <w:r w:rsidRPr="00C917DC">
        <w:rPr>
          <w:rFonts w:ascii="Arabic Transparent" w:eastAsia="Times New Roman" w:hAnsi="Arabic Transparent" w:cs="Arabic Transparent"/>
          <w:b/>
          <w:bCs/>
          <w:sz w:val="24"/>
          <w:szCs w:val="24"/>
          <w:rtl/>
        </w:rPr>
        <w:softHyphen/>
        <w:t>دهد. در اين مقاله، واژه</w:t>
      </w:r>
      <w:r w:rsidRPr="00C917DC">
        <w:rPr>
          <w:rFonts w:ascii="Arabic Transparent" w:eastAsia="Times New Roman" w:hAnsi="Arabic Transparent" w:cs="Arabic Transparent"/>
          <w:b/>
          <w:bCs/>
          <w:sz w:val="24"/>
          <w:szCs w:val="24"/>
          <w:rtl/>
        </w:rPr>
        <w:softHyphen/>
        <w:t>هاي خود، خويش، شخص، نفس آدمي و هويت (</w:t>
      </w:r>
      <w:r w:rsidRPr="00C917DC">
        <w:rPr>
          <w:rFonts w:ascii="Arabic Transparent" w:eastAsia="Times New Roman" w:hAnsi="Arabic Transparent" w:cs="Arabic Transparent"/>
          <w:b/>
          <w:bCs/>
          <w:sz w:val="24"/>
          <w:szCs w:val="24"/>
        </w:rPr>
        <w:t>the self, person, identity</w:t>
      </w:r>
      <w:r w:rsidRPr="00C917DC">
        <w:rPr>
          <w:rFonts w:ascii="Arabic Transparent" w:eastAsia="Times New Roman" w:hAnsi="Arabic Transparent" w:cs="Arabic Transparent"/>
          <w:b/>
          <w:bCs/>
          <w:sz w:val="24"/>
          <w:szCs w:val="24"/>
          <w:rtl/>
        </w:rPr>
        <w:t xml:space="preserve"> </w:t>
      </w:r>
      <w:r w:rsidRPr="00C917DC">
        <w:rPr>
          <w:rFonts w:ascii="Arabic Transparent" w:eastAsia="Times New Roman" w:hAnsi="Arabic Transparent" w:cs="Arabic Transparent"/>
          <w:b/>
          <w:bCs/>
          <w:sz w:val="24"/>
          <w:szCs w:val="24"/>
        </w:rPr>
        <w:t>and human agency</w:t>
      </w:r>
      <w:r w:rsidRPr="00C917DC">
        <w:rPr>
          <w:rFonts w:ascii="Arabic Transparent" w:eastAsia="Times New Roman" w:hAnsi="Arabic Transparent" w:cs="Arabic Transparent"/>
          <w:b/>
          <w:bCs/>
          <w:sz w:val="24"/>
          <w:szCs w:val="24"/>
          <w:rtl/>
        </w:rPr>
        <w:t>) معادل انگاشته شده</w:t>
      </w:r>
      <w:r w:rsidRPr="00C917DC">
        <w:rPr>
          <w:rFonts w:ascii="Arabic Transparent" w:eastAsia="Times New Roman" w:hAnsi="Arabic Transparent" w:cs="Arabic Transparent"/>
          <w:b/>
          <w:bCs/>
          <w:sz w:val="24"/>
          <w:szCs w:val="24"/>
          <w:rtl/>
        </w:rPr>
        <w:softHyphen/>
        <w:t xml:space="preserve">اند.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5_ </w:t>
      </w:r>
      <w:r w:rsidRPr="00C917DC">
        <w:rPr>
          <w:rFonts w:ascii="Arabic Transparent" w:eastAsia="Times New Roman" w:hAnsi="Arabic Transparent" w:cs="Arabic Transparent"/>
          <w:b/>
          <w:bCs/>
          <w:sz w:val="24"/>
          <w:szCs w:val="24"/>
        </w:rPr>
        <w:t>Incommensurable</w:t>
      </w:r>
      <w:r w:rsidRPr="00C917DC">
        <w:rPr>
          <w:rFonts w:ascii="Arabic Transparent" w:eastAsia="Times New Roman" w:hAnsi="Arabic Transparent" w:cs="Arabic Transparent"/>
          <w:b/>
          <w:bCs/>
          <w:sz w:val="24"/>
          <w:szCs w:val="24"/>
          <w:rtl/>
        </w:rPr>
        <w:t xml:space="preserve"> ناهمخواني دو نظام ارزشي بدان معني است که آن دو نظام به گونه</w:t>
      </w:r>
      <w:r w:rsidRPr="00C917DC">
        <w:rPr>
          <w:rFonts w:ascii="Arabic Transparent" w:eastAsia="Times New Roman" w:hAnsi="Arabic Transparent" w:cs="Arabic Transparent"/>
          <w:b/>
          <w:bCs/>
          <w:sz w:val="24"/>
          <w:szCs w:val="24"/>
          <w:rtl/>
        </w:rPr>
        <w:softHyphen/>
        <w:t>اي از يکديگر متفاوتند که مقايسه و اصولاً سنجش آن</w:t>
      </w:r>
      <w:r w:rsidRPr="00C917DC">
        <w:rPr>
          <w:rFonts w:ascii="Arabic Transparent" w:eastAsia="Times New Roman" w:hAnsi="Arabic Transparent" w:cs="Arabic Transparent"/>
          <w:b/>
          <w:bCs/>
          <w:sz w:val="24"/>
          <w:szCs w:val="24"/>
          <w:rtl/>
        </w:rPr>
        <w:softHyphen/>
        <w:t xml:space="preserve">ها با يکديگر ممکن نيست.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6_ </w:t>
      </w:r>
      <w:r w:rsidRPr="00C917DC">
        <w:rPr>
          <w:rFonts w:ascii="Arabic Transparent" w:eastAsia="Times New Roman" w:hAnsi="Arabic Transparent" w:cs="Arabic Transparent"/>
          <w:b/>
          <w:bCs/>
          <w:sz w:val="24"/>
          <w:szCs w:val="24"/>
        </w:rPr>
        <w:t>contextually embedded account of understanding</w:t>
      </w:r>
      <w:r w:rsidRPr="00C917DC">
        <w:rPr>
          <w:rFonts w:ascii="Arabic Transparent" w:eastAsia="Times New Roman" w:hAnsi="Arabic Transparent" w:cs="Arabic Transparent"/>
          <w:b/>
          <w:bCs/>
          <w:sz w:val="24"/>
          <w:szCs w:val="24"/>
          <w:rtl/>
        </w:rPr>
        <w:t>. در اين مقاله، بسته به جمله مربوطه،</w:t>
      </w:r>
      <w:r w:rsidRPr="00C917DC">
        <w:rPr>
          <w:rFonts w:ascii="Arabic Transparent" w:eastAsia="Times New Roman" w:hAnsi="Arabic Transparent" w:cs="Arabic Transparent"/>
          <w:b/>
          <w:bCs/>
          <w:sz w:val="24"/>
          <w:szCs w:val="24"/>
        </w:rPr>
        <w:t>context</w:t>
      </w:r>
      <w:r w:rsidRPr="00C917DC">
        <w:rPr>
          <w:rFonts w:ascii="Arabic Transparent" w:eastAsia="Times New Roman" w:hAnsi="Arabic Transparent" w:cs="Arabic Transparent"/>
          <w:b/>
          <w:bCs/>
          <w:sz w:val="24"/>
          <w:szCs w:val="24"/>
          <w:rtl/>
        </w:rPr>
        <w:t xml:space="preserve"> گاه به "متن" و گاه به "زمينه" ترجمه شده است.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lastRenderedPageBreak/>
        <w:t xml:space="preserve">7_ </w:t>
      </w:r>
      <w:r w:rsidRPr="00C917DC">
        <w:rPr>
          <w:rFonts w:ascii="Arabic Transparent" w:eastAsia="Times New Roman" w:hAnsi="Arabic Transparent" w:cs="Arabic Transparent"/>
          <w:b/>
          <w:bCs/>
          <w:sz w:val="24"/>
          <w:szCs w:val="24"/>
        </w:rPr>
        <w:t>ad hominem practical reason</w:t>
      </w:r>
      <w:r w:rsidRPr="00C917DC">
        <w:rPr>
          <w:rFonts w:ascii="Arabic Transparent" w:eastAsia="Times New Roman" w:hAnsi="Arabic Transparent" w:cs="Arabic Transparent"/>
          <w:b/>
          <w:bCs/>
          <w:sz w:val="24"/>
          <w:szCs w:val="24"/>
          <w:rtl/>
        </w:rPr>
        <w:t xml:space="preserve"> گونه</w:t>
      </w:r>
      <w:r w:rsidRPr="00C917DC">
        <w:rPr>
          <w:rFonts w:ascii="Arabic Transparent" w:eastAsia="Times New Roman" w:hAnsi="Arabic Transparent" w:cs="Arabic Transparent"/>
          <w:b/>
          <w:bCs/>
          <w:sz w:val="24"/>
          <w:szCs w:val="24"/>
          <w:rtl/>
        </w:rPr>
        <w:softHyphen/>
        <w:t>اي از استدلال است که، به جاي ارجاع به دليل</w:t>
      </w:r>
      <w:r w:rsidRPr="00C917DC">
        <w:rPr>
          <w:rFonts w:ascii="Arabic Transparent" w:eastAsia="Times New Roman" w:hAnsi="Arabic Transparent" w:cs="Arabic Transparent"/>
          <w:b/>
          <w:bCs/>
          <w:sz w:val="24"/>
          <w:szCs w:val="24"/>
          <w:rtl/>
        </w:rPr>
        <w:softHyphen/>
        <w:t>هاي همه</w:t>
      </w:r>
      <w:r w:rsidRPr="00C917DC">
        <w:rPr>
          <w:rFonts w:ascii="Arabic Transparent" w:eastAsia="Times New Roman" w:hAnsi="Arabic Transparent" w:cs="Arabic Transparent"/>
          <w:b/>
          <w:bCs/>
          <w:sz w:val="24"/>
          <w:szCs w:val="24"/>
          <w:rtl/>
        </w:rPr>
        <w:softHyphen/>
        <w:t>پذير، به دليل</w:t>
      </w:r>
      <w:r w:rsidRPr="00C917DC">
        <w:rPr>
          <w:rFonts w:ascii="Arabic Transparent" w:eastAsia="Times New Roman" w:hAnsi="Arabic Transparent" w:cs="Arabic Transparent"/>
          <w:b/>
          <w:bCs/>
          <w:sz w:val="24"/>
          <w:szCs w:val="24"/>
          <w:rtl/>
        </w:rPr>
        <w:softHyphen/>
        <w:t>هايي که تنها براي يک فرد معين قابل پذيرش است ارجاع مي</w:t>
      </w:r>
      <w:r w:rsidRPr="00C917DC">
        <w:rPr>
          <w:rFonts w:ascii="Arabic Transparent" w:eastAsia="Times New Roman" w:hAnsi="Arabic Transparent" w:cs="Arabic Transparent"/>
          <w:b/>
          <w:bCs/>
          <w:sz w:val="24"/>
          <w:szCs w:val="24"/>
          <w:rtl/>
        </w:rPr>
        <w:softHyphen/>
        <w:t>دهد.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8_ تيلور واژه </w:t>
      </w:r>
      <w:proofErr w:type="spellStart"/>
      <w:r w:rsidRPr="00C917DC">
        <w:rPr>
          <w:rFonts w:ascii="Arabic Transparent" w:eastAsia="Times New Roman" w:hAnsi="Arabic Transparent" w:cs="Arabic Transparent"/>
          <w:b/>
          <w:bCs/>
          <w:sz w:val="24"/>
          <w:szCs w:val="24"/>
        </w:rPr>
        <w:t>hypergood</w:t>
      </w:r>
      <w:proofErr w:type="spellEnd"/>
      <w:r w:rsidRPr="00C917DC">
        <w:rPr>
          <w:rFonts w:ascii="Arabic Transparent" w:eastAsia="Times New Roman" w:hAnsi="Arabic Transparent" w:cs="Arabic Transparent"/>
          <w:b/>
          <w:bCs/>
          <w:sz w:val="24"/>
          <w:szCs w:val="24"/>
          <w:rtl/>
        </w:rPr>
        <w:t xml:space="preserve"> را براي اشاره به فضائل برتر وضع مي</w:t>
      </w:r>
      <w:r w:rsidRPr="00C917DC">
        <w:rPr>
          <w:rFonts w:ascii="Arabic Transparent" w:eastAsia="Times New Roman" w:hAnsi="Arabic Transparent" w:cs="Arabic Transparent"/>
          <w:b/>
          <w:bCs/>
          <w:sz w:val="24"/>
          <w:szCs w:val="24"/>
          <w:rtl/>
        </w:rPr>
        <w:softHyphen/>
        <w:t>کند.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9_ منظور به رسميت شناخته شدن توسط دستگاه دولتي، يا قانون</w:t>
      </w:r>
      <w:r w:rsidRPr="00C917DC">
        <w:rPr>
          <w:rFonts w:ascii="Arabic Transparent" w:eastAsia="Times New Roman" w:hAnsi="Arabic Transparent" w:cs="Arabic Transparent"/>
          <w:b/>
          <w:bCs/>
          <w:sz w:val="24"/>
          <w:szCs w:val="24"/>
          <w:rtl/>
        </w:rPr>
        <w:softHyphen/>
        <w:t>گذاري يک کشور به اين منظور است. انواع ديگر به رسميت شناختن ممکن است توسط اعضاي گروهي که شخص احساس تعلق به آن مي</w:t>
      </w:r>
      <w:r w:rsidRPr="00C917DC">
        <w:rPr>
          <w:rFonts w:ascii="Arabic Transparent" w:eastAsia="Times New Roman" w:hAnsi="Arabic Transparent" w:cs="Arabic Transparent"/>
          <w:b/>
          <w:bCs/>
          <w:sz w:val="24"/>
          <w:szCs w:val="24"/>
          <w:rtl/>
        </w:rPr>
        <w:softHyphen/>
        <w:t>کند، مثلاً اعضاي خانواده يا جامعه مذهبي، صورت گيرد. در به رسميت شناختن سياسي يا حقوقي، دستگاه اجبار حکومتي ضمانت</w:t>
      </w:r>
      <w:r w:rsidRPr="00C917DC">
        <w:rPr>
          <w:rFonts w:ascii="Arabic Transparent" w:eastAsia="Times New Roman" w:hAnsi="Arabic Transparent" w:cs="Arabic Transparent"/>
          <w:b/>
          <w:bCs/>
          <w:sz w:val="24"/>
          <w:szCs w:val="24"/>
          <w:rtl/>
        </w:rPr>
        <w:softHyphen/>
        <w:t>کننده به رسميت شناختن است، در حالي</w:t>
      </w:r>
      <w:r w:rsidRPr="00C917DC">
        <w:rPr>
          <w:rFonts w:ascii="Arabic Transparent" w:eastAsia="Times New Roman" w:hAnsi="Arabic Transparent" w:cs="Arabic Transparent"/>
          <w:b/>
          <w:bCs/>
          <w:sz w:val="24"/>
          <w:szCs w:val="24"/>
          <w:rtl/>
        </w:rPr>
        <w:softHyphen/>
        <w:t>که در انواع ديگر به رسميت شناختن چنين ضمانتي وجود ندارد.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10_ در اين مقاله واژه "جامعه" معادل </w:t>
      </w:r>
      <w:r w:rsidRPr="00C917DC">
        <w:rPr>
          <w:rFonts w:ascii="Arabic Transparent" w:eastAsia="Times New Roman" w:hAnsi="Arabic Transparent" w:cs="Arabic Transparent"/>
          <w:b/>
          <w:bCs/>
          <w:sz w:val="24"/>
          <w:szCs w:val="24"/>
        </w:rPr>
        <w:t>community</w:t>
      </w:r>
      <w:r w:rsidRPr="00C917DC">
        <w:rPr>
          <w:rFonts w:ascii="Arabic Transparent" w:eastAsia="Times New Roman" w:hAnsi="Arabic Transparent" w:cs="Arabic Transparent"/>
          <w:b/>
          <w:bCs/>
          <w:sz w:val="24"/>
          <w:szCs w:val="24"/>
          <w:rtl/>
        </w:rPr>
        <w:t xml:space="preserve"> استفاده شده است. متقابلاً، واژه "اجتماع" معادل </w:t>
      </w:r>
      <w:r w:rsidRPr="00C917DC">
        <w:rPr>
          <w:rFonts w:ascii="Arabic Transparent" w:eastAsia="Times New Roman" w:hAnsi="Arabic Transparent" w:cs="Arabic Transparent"/>
          <w:b/>
          <w:bCs/>
          <w:sz w:val="24"/>
          <w:szCs w:val="24"/>
        </w:rPr>
        <w:t>society</w:t>
      </w:r>
      <w:r w:rsidRPr="00C917DC">
        <w:rPr>
          <w:rFonts w:ascii="Arabic Transparent" w:eastAsia="Times New Roman" w:hAnsi="Arabic Transparent" w:cs="Arabic Transparent"/>
          <w:b/>
          <w:bCs/>
          <w:sz w:val="24"/>
          <w:szCs w:val="24"/>
          <w:rtl/>
        </w:rPr>
        <w:t xml:space="preserve"> به کار رفته است. در حالي که در جامعه</w:t>
      </w:r>
      <w:r w:rsidRPr="00C917DC">
        <w:rPr>
          <w:rFonts w:ascii="Arabic Transparent" w:eastAsia="Times New Roman" w:hAnsi="Arabic Transparent" w:cs="Arabic Transparent"/>
          <w:b/>
          <w:bCs/>
          <w:sz w:val="24"/>
          <w:szCs w:val="24"/>
          <w:rtl/>
        </w:rPr>
        <w:softHyphen/>
        <w:t>هاي نوعي همبستگي نزديک و دروني شده وجود دارد، هم</w:t>
      </w:r>
      <w:r w:rsidRPr="00C917DC">
        <w:rPr>
          <w:rFonts w:ascii="Arabic Transparent" w:eastAsia="Times New Roman" w:hAnsi="Arabic Transparent" w:cs="Arabic Transparent"/>
          <w:b/>
          <w:bCs/>
          <w:sz w:val="24"/>
          <w:szCs w:val="24"/>
          <w:rtl/>
        </w:rPr>
        <w:softHyphen/>
        <w:t>چنان که اين گونه همبستگي در جامعه</w:t>
      </w:r>
      <w:r w:rsidRPr="00C917DC">
        <w:rPr>
          <w:rFonts w:ascii="Arabic Transparent" w:eastAsia="Times New Roman" w:hAnsi="Arabic Transparent" w:cs="Arabic Transparent"/>
          <w:b/>
          <w:bCs/>
          <w:sz w:val="24"/>
          <w:szCs w:val="24"/>
          <w:rtl/>
        </w:rPr>
        <w:softHyphen/>
        <w:t>هاي مذهبي، قومي يا محلي وجود دارد، در يک اجتماع، همانند کشور، تنها عامل همبستگي بيروني است، همانند قدرت اجبار دولت</w:t>
      </w:r>
      <w:r w:rsidRPr="00C917DC">
        <w:rPr>
          <w:rFonts w:ascii="Arabic Transparent" w:eastAsia="Times New Roman" w:hAnsi="Arabic Transparent" w:cs="Arabic Transparent"/>
          <w:b/>
          <w:bCs/>
          <w:sz w:val="24"/>
          <w:szCs w:val="24"/>
          <w:rtl/>
        </w:rPr>
        <w:softHyphen/>
        <w:t xml:space="preserve">ها. همبستگي دروني موجود در يک جامعه اساساً از همبستگي سياسي جدا است و در صورتي که جنبه سياسي نيز داشته باشد مقدم بر آن است. </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11_ تيلور مدعي است پذيرش اين نظريه معرفت شناختي که شناخت در بستر متن اجتماع و در تعامل با رويدادها شکل مي</w:t>
      </w:r>
      <w:r w:rsidRPr="00C917DC">
        <w:rPr>
          <w:rFonts w:ascii="Arabic Transparent" w:eastAsia="Times New Roman" w:hAnsi="Arabic Transparent" w:cs="Arabic Transparent"/>
          <w:b/>
          <w:bCs/>
          <w:sz w:val="24"/>
          <w:szCs w:val="24"/>
          <w:rtl/>
        </w:rPr>
        <w:softHyphen/>
        <w:t>گيرد و نيز پذيرش نظريه گفت و گويي شکل</w:t>
      </w:r>
      <w:r w:rsidRPr="00C917DC">
        <w:rPr>
          <w:rFonts w:ascii="Arabic Transparent" w:eastAsia="Times New Roman" w:hAnsi="Arabic Transparent" w:cs="Arabic Transparent"/>
          <w:b/>
          <w:bCs/>
          <w:sz w:val="24"/>
          <w:szCs w:val="24"/>
          <w:rtl/>
        </w:rPr>
        <w:softHyphen/>
        <w:t>گيري هويت آدمي به منزله نفي امکان تحقق ليبراليسم معطوف به روش و بيطرف است، در حالي</w:t>
      </w:r>
      <w:r w:rsidRPr="00C917DC">
        <w:rPr>
          <w:rFonts w:ascii="Arabic Transparent" w:eastAsia="Times New Roman" w:hAnsi="Arabic Transparent" w:cs="Arabic Transparent"/>
          <w:b/>
          <w:bCs/>
          <w:sz w:val="24"/>
          <w:szCs w:val="24"/>
          <w:rtl/>
        </w:rPr>
        <w:softHyphen/>
        <w:t>که پذيراي گونه</w:t>
      </w:r>
      <w:r w:rsidRPr="00C917DC">
        <w:rPr>
          <w:rFonts w:ascii="Arabic Transparent" w:eastAsia="Times New Roman" w:hAnsi="Arabic Transparent" w:cs="Arabic Transparent"/>
          <w:b/>
          <w:bCs/>
          <w:sz w:val="24"/>
          <w:szCs w:val="24"/>
          <w:rtl/>
        </w:rPr>
        <w:softHyphen/>
        <w:t>اي از ليبراليسم است که تحقق اهداف جمعي را دنبال مي</w:t>
      </w:r>
      <w:r w:rsidRPr="00C917DC">
        <w:rPr>
          <w:rFonts w:ascii="Arabic Transparent" w:eastAsia="Times New Roman" w:hAnsi="Arabic Transparent" w:cs="Arabic Transparent"/>
          <w:b/>
          <w:bCs/>
          <w:sz w:val="24"/>
          <w:szCs w:val="24"/>
          <w:rtl/>
        </w:rPr>
        <w:softHyphen/>
        <w:t>کند. وي مي</w:t>
      </w:r>
      <w:r w:rsidRPr="00C917DC">
        <w:rPr>
          <w:rFonts w:ascii="Arabic Transparent" w:eastAsia="Times New Roman" w:hAnsi="Arabic Transparent" w:cs="Arabic Transparent"/>
          <w:b/>
          <w:bCs/>
          <w:sz w:val="24"/>
          <w:szCs w:val="24"/>
          <w:rtl/>
        </w:rPr>
        <w:softHyphen/>
        <w:t>کوشد تا اساساً تحقق پذيري ليبراليسم معطوف به روش را مورد سؤال قرار دهد و لذا اين گونه ليبراليسم را در بردارنده نظريه شناخت شناسي وام گرفته شده از علوم طبيعي (</w:t>
      </w:r>
      <w:r w:rsidRPr="00C917DC">
        <w:rPr>
          <w:rFonts w:ascii="Arabic Transparent" w:eastAsia="Times New Roman" w:hAnsi="Arabic Transparent" w:cs="Arabic Transparent"/>
          <w:b/>
          <w:bCs/>
          <w:sz w:val="24"/>
          <w:szCs w:val="24"/>
        </w:rPr>
        <w:t>naturalistic epistemology</w:t>
      </w:r>
      <w:r w:rsidRPr="00C917DC">
        <w:rPr>
          <w:rFonts w:ascii="Arabic Transparent" w:eastAsia="Times New Roman" w:hAnsi="Arabic Transparent" w:cs="Arabic Transparent"/>
          <w:b/>
          <w:bCs/>
          <w:sz w:val="24"/>
          <w:szCs w:val="24"/>
          <w:rtl/>
        </w:rPr>
        <w:t>) و نظريه هستي شناسانه اتميستي، که او خود هر دو را مردود مي</w:t>
      </w:r>
      <w:r w:rsidRPr="00C917DC">
        <w:rPr>
          <w:rFonts w:ascii="Arabic Transparent" w:eastAsia="Times New Roman" w:hAnsi="Arabic Transparent" w:cs="Arabic Transparent"/>
          <w:b/>
          <w:bCs/>
          <w:sz w:val="24"/>
          <w:szCs w:val="24"/>
          <w:rtl/>
        </w:rPr>
        <w:softHyphen/>
        <w:t>شمرد، مي داند. يک نقد جدي</w:t>
      </w:r>
      <w:r w:rsidRPr="00C917DC">
        <w:rPr>
          <w:rFonts w:ascii="Arabic Transparent" w:eastAsia="Times New Roman" w:hAnsi="Arabic Transparent" w:cs="Arabic Transparent"/>
          <w:b/>
          <w:bCs/>
          <w:sz w:val="24"/>
          <w:szCs w:val="24"/>
          <w:rtl/>
        </w:rPr>
        <w:softHyphen/>
        <w:t>تر تيلور از ليبراليسم معطوف به روش آن است که اين نظريه به لحاظ سياسي تحقق پذير نيست، زيرا پيشبرد هدف</w:t>
      </w:r>
      <w:r w:rsidRPr="00C917DC">
        <w:rPr>
          <w:rFonts w:ascii="Arabic Transparent" w:eastAsia="Times New Roman" w:hAnsi="Arabic Transparent" w:cs="Arabic Transparent"/>
          <w:b/>
          <w:bCs/>
          <w:sz w:val="24"/>
          <w:szCs w:val="24"/>
          <w:rtl/>
        </w:rPr>
        <w:softHyphen/>
        <w:t>هاي جمعي و تحکيم پيوندهاي عمومي (</w:t>
      </w:r>
      <w:r w:rsidRPr="00C917DC">
        <w:rPr>
          <w:rFonts w:ascii="Arabic Transparent" w:eastAsia="Times New Roman" w:hAnsi="Arabic Transparent" w:cs="Arabic Transparent"/>
          <w:b/>
          <w:bCs/>
          <w:sz w:val="24"/>
          <w:szCs w:val="24"/>
        </w:rPr>
        <w:t>common bonds</w:t>
      </w:r>
      <w:r w:rsidRPr="00C917DC">
        <w:rPr>
          <w:rFonts w:ascii="Arabic Transparent" w:eastAsia="Times New Roman" w:hAnsi="Arabic Transparent" w:cs="Arabic Transparent"/>
          <w:b/>
          <w:bCs/>
          <w:sz w:val="24"/>
          <w:szCs w:val="24"/>
          <w:rtl/>
        </w:rPr>
        <w:t>) در اين نظريه از جايگاهي برخوردار نيست. بررسي اين نقد تيلور در حوصله مقاله حاضر نيست. با اين حال، اين نکته درست به نظر مي</w:t>
      </w:r>
      <w:r w:rsidRPr="00C917DC">
        <w:rPr>
          <w:rFonts w:ascii="Arabic Transparent" w:eastAsia="Times New Roman" w:hAnsi="Arabic Transparent" w:cs="Arabic Transparent"/>
          <w:b/>
          <w:bCs/>
          <w:sz w:val="24"/>
          <w:szCs w:val="24"/>
          <w:rtl/>
        </w:rPr>
        <w:softHyphen/>
        <w:t>رسد که ليبراليسم معطوف به روش، به سبب ديدگاه ابزار انگارانه خود، پذيراي نظريه</w:t>
      </w:r>
      <w:r w:rsidRPr="00C917DC">
        <w:rPr>
          <w:rFonts w:ascii="Arabic Transparent" w:eastAsia="Times New Roman" w:hAnsi="Arabic Transparent" w:cs="Arabic Transparent"/>
          <w:b/>
          <w:bCs/>
          <w:sz w:val="24"/>
          <w:szCs w:val="24"/>
          <w:rtl/>
        </w:rPr>
        <w:softHyphen/>
        <w:t>هايي نيست که براي جامعه ارزش ذاتي (</w:t>
      </w:r>
      <w:r w:rsidRPr="00C917DC">
        <w:rPr>
          <w:rFonts w:ascii="Arabic Transparent" w:eastAsia="Times New Roman" w:hAnsi="Arabic Transparent" w:cs="Arabic Transparent"/>
          <w:b/>
          <w:bCs/>
          <w:sz w:val="24"/>
          <w:szCs w:val="24"/>
        </w:rPr>
        <w:t>intrinsic</w:t>
      </w:r>
      <w:r w:rsidRPr="00C917DC">
        <w:rPr>
          <w:rFonts w:ascii="Arabic Transparent" w:eastAsia="Times New Roman" w:hAnsi="Arabic Transparent" w:cs="Arabic Transparent"/>
          <w:b/>
          <w:bCs/>
          <w:sz w:val="24"/>
          <w:szCs w:val="24"/>
          <w:rtl/>
        </w:rPr>
        <w:t>) قائل باشند، يا تحقق مطلوب</w:t>
      </w:r>
      <w:r w:rsidRPr="00C917DC">
        <w:rPr>
          <w:rFonts w:ascii="Arabic Transparent" w:eastAsia="Times New Roman" w:hAnsi="Arabic Transparent" w:cs="Arabic Transparent"/>
          <w:b/>
          <w:bCs/>
          <w:sz w:val="24"/>
          <w:szCs w:val="24"/>
          <w:rtl/>
        </w:rPr>
        <w:softHyphen/>
        <w:t>هاي جمعي (</w:t>
      </w:r>
      <w:r w:rsidRPr="00C917DC">
        <w:rPr>
          <w:rFonts w:ascii="Arabic Transparent" w:eastAsia="Times New Roman" w:hAnsi="Arabic Transparent" w:cs="Arabic Transparent"/>
          <w:b/>
          <w:bCs/>
          <w:sz w:val="24"/>
          <w:szCs w:val="24"/>
        </w:rPr>
        <w:t>collective goods</w:t>
      </w:r>
      <w:r w:rsidRPr="00C917DC">
        <w:rPr>
          <w:rFonts w:ascii="Arabic Transparent" w:eastAsia="Times New Roman" w:hAnsi="Arabic Transparent" w:cs="Arabic Transparent"/>
          <w:b/>
          <w:bCs/>
          <w:sz w:val="24"/>
          <w:szCs w:val="24"/>
          <w:rtl/>
        </w:rPr>
        <w:t>)، هم</w:t>
      </w:r>
      <w:r w:rsidRPr="00C917DC">
        <w:rPr>
          <w:rFonts w:ascii="Arabic Transparent" w:eastAsia="Times New Roman" w:hAnsi="Arabic Transparent" w:cs="Arabic Transparent"/>
          <w:b/>
          <w:bCs/>
          <w:sz w:val="24"/>
          <w:szCs w:val="24"/>
          <w:rtl/>
        </w:rPr>
        <w:softHyphen/>
        <w:t>چون مطلوب</w:t>
      </w:r>
      <w:r w:rsidRPr="00C917DC">
        <w:rPr>
          <w:rFonts w:ascii="Arabic Transparent" w:eastAsia="Times New Roman" w:hAnsi="Arabic Transparent" w:cs="Arabic Transparent"/>
          <w:b/>
          <w:bCs/>
          <w:sz w:val="24"/>
          <w:szCs w:val="24"/>
          <w:rtl/>
        </w:rPr>
        <w:softHyphen/>
        <w:t>هاي قومي، زباني يا فرهنگي، را از طرق سياسي دنبال مي</w:t>
      </w:r>
      <w:r w:rsidRPr="00C917DC">
        <w:rPr>
          <w:rFonts w:ascii="Arabic Transparent" w:eastAsia="Times New Roman" w:hAnsi="Arabic Transparent" w:cs="Arabic Transparent"/>
          <w:b/>
          <w:bCs/>
          <w:sz w:val="24"/>
          <w:szCs w:val="24"/>
          <w:rtl/>
        </w:rPr>
        <w:softHyphen/>
        <w:t>کنند.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12_ در کبک، محدوديت</w:t>
      </w:r>
      <w:r w:rsidRPr="00C917DC">
        <w:rPr>
          <w:rFonts w:ascii="Arabic Transparent" w:eastAsia="Times New Roman" w:hAnsi="Arabic Transparent" w:cs="Arabic Transparent"/>
          <w:b/>
          <w:bCs/>
          <w:sz w:val="24"/>
          <w:szCs w:val="24"/>
          <w:rtl/>
        </w:rPr>
        <w:softHyphen/>
        <w:t>هايي براي استفاده از زبان</w:t>
      </w:r>
      <w:r w:rsidRPr="00C917DC">
        <w:rPr>
          <w:rFonts w:ascii="Arabic Transparent" w:eastAsia="Times New Roman" w:hAnsi="Arabic Transparent" w:cs="Arabic Transparent"/>
          <w:b/>
          <w:bCs/>
          <w:sz w:val="24"/>
          <w:szCs w:val="24"/>
          <w:rtl/>
        </w:rPr>
        <w:softHyphen/>
        <w:t>هاي خارجي وجود دارد. مثلاً، فرزندان مهاجرين در صورتي که زبان مادريشان انگليسي نباشد مجبورند تحصيلات خود را به زبان فرانسوي به انجام برسانند.</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13_ برخي از ناقدان تيلور معتقدند که نظريه او براي قامت کبک، ايالت فرانسوي زبان کانادا که تيلور خود از آن</w:t>
      </w:r>
      <w:r w:rsidRPr="00C917DC">
        <w:rPr>
          <w:rFonts w:ascii="Arabic Transparent" w:eastAsia="Times New Roman" w:hAnsi="Arabic Transparent" w:cs="Arabic Transparent"/>
          <w:b/>
          <w:bCs/>
          <w:sz w:val="24"/>
          <w:szCs w:val="24"/>
          <w:rtl/>
        </w:rPr>
        <w:softHyphen/>
        <w:t>جا برخواسته و در صدد حل مسائلش است، بريده شده است. کبک از دير زمان درصدد حفظ هويت و فرهنگ فرانسوي خود در برابر گسترش فرهنگ و زبان انگليسي بوده است.</w:t>
      </w:r>
    </w:p>
    <w:p w:rsidR="00C917DC" w:rsidRPr="00C917DC" w:rsidRDefault="00C917DC" w:rsidP="00C917DC">
      <w:pPr>
        <w:bidi/>
        <w:spacing w:before="100" w:beforeAutospacing="1" w:after="100" w:afterAutospacing="1" w:line="240" w:lineRule="auto"/>
        <w:rPr>
          <w:rFonts w:ascii="Arabic Transparent" w:eastAsia="Times New Roman" w:hAnsi="Arabic Transparent" w:cs="Arabic Transparent"/>
          <w:b/>
          <w:bCs/>
          <w:sz w:val="24"/>
          <w:szCs w:val="24"/>
          <w:rtl/>
        </w:rPr>
      </w:pPr>
      <w:r w:rsidRPr="00C917DC">
        <w:rPr>
          <w:rFonts w:ascii="Arabic Transparent" w:eastAsia="Times New Roman" w:hAnsi="Arabic Transparent" w:cs="Arabic Transparent"/>
          <w:b/>
          <w:bCs/>
          <w:sz w:val="24"/>
          <w:szCs w:val="24"/>
          <w:rtl/>
        </w:rPr>
        <w:t xml:space="preserve">14_ </w:t>
      </w:r>
      <w:r w:rsidRPr="00C917DC">
        <w:rPr>
          <w:rFonts w:ascii="Arabic Transparent" w:eastAsia="Times New Roman" w:hAnsi="Arabic Transparent" w:cs="Arabic Transparent"/>
          <w:b/>
          <w:bCs/>
          <w:sz w:val="24"/>
          <w:szCs w:val="24"/>
        </w:rPr>
        <w:t>a thin theory of the good</w:t>
      </w:r>
      <w:r w:rsidRPr="00C917DC">
        <w:rPr>
          <w:rFonts w:ascii="Arabic Transparent" w:eastAsia="Times New Roman" w:hAnsi="Arabic Transparent" w:cs="Arabic Transparent"/>
          <w:b/>
          <w:bCs/>
          <w:sz w:val="24"/>
          <w:szCs w:val="24"/>
          <w:rtl/>
        </w:rPr>
        <w:t xml:space="preserve"> منظور نگرشي از فضيلت يا زندگي سعادت</w:t>
      </w:r>
      <w:r w:rsidRPr="00C917DC">
        <w:rPr>
          <w:rFonts w:ascii="Arabic Transparent" w:eastAsia="Times New Roman" w:hAnsi="Arabic Transparent" w:cs="Arabic Transparent"/>
          <w:b/>
          <w:bCs/>
          <w:sz w:val="24"/>
          <w:szCs w:val="24"/>
          <w:rtl/>
        </w:rPr>
        <w:softHyphen/>
        <w:t>آميز است كه الزام</w:t>
      </w:r>
      <w:r w:rsidRPr="00C917DC">
        <w:rPr>
          <w:rFonts w:ascii="Arabic Transparent" w:eastAsia="Times New Roman" w:hAnsi="Arabic Transparent" w:cs="Arabic Transparent"/>
          <w:b/>
          <w:bCs/>
          <w:sz w:val="24"/>
          <w:szCs w:val="24"/>
          <w:rtl/>
        </w:rPr>
        <w:softHyphen/>
        <w:t>هاي اخلاقي اندكي دارد.</w:t>
      </w:r>
    </w:p>
    <w:p w:rsidR="004538BE" w:rsidRPr="00C917DC" w:rsidRDefault="004538BE" w:rsidP="00C917DC"/>
    <w:sectPr w:rsidR="004538BE" w:rsidRPr="00C917DC"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0603AA"/>
    <w:rsid w:val="00063FBF"/>
    <w:rsid w:val="000E1DED"/>
    <w:rsid w:val="00126A40"/>
    <w:rsid w:val="0021343E"/>
    <w:rsid w:val="00366494"/>
    <w:rsid w:val="003B4A13"/>
    <w:rsid w:val="00420817"/>
    <w:rsid w:val="0044646E"/>
    <w:rsid w:val="004538BE"/>
    <w:rsid w:val="004A57DD"/>
    <w:rsid w:val="00557710"/>
    <w:rsid w:val="00573529"/>
    <w:rsid w:val="00635492"/>
    <w:rsid w:val="00665787"/>
    <w:rsid w:val="0084702C"/>
    <w:rsid w:val="00950778"/>
    <w:rsid w:val="00A34E7F"/>
    <w:rsid w:val="00A73B79"/>
    <w:rsid w:val="00AD6738"/>
    <w:rsid w:val="00B23D93"/>
    <w:rsid w:val="00BF3D86"/>
    <w:rsid w:val="00C002EE"/>
    <w:rsid w:val="00C36AAF"/>
    <w:rsid w:val="00C473C2"/>
    <w:rsid w:val="00C917DC"/>
    <w:rsid w:val="00CB0A21"/>
    <w:rsid w:val="00D62816"/>
    <w:rsid w:val="00F01361"/>
    <w:rsid w:val="00F56E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158690217">
      <w:bodyDiv w:val="1"/>
      <w:marLeft w:val="0"/>
      <w:marRight w:val="0"/>
      <w:marTop w:val="0"/>
      <w:marBottom w:val="0"/>
      <w:divBdr>
        <w:top w:val="none" w:sz="0" w:space="0" w:color="auto"/>
        <w:left w:val="none" w:sz="0" w:space="0" w:color="auto"/>
        <w:bottom w:val="none" w:sz="0" w:space="0" w:color="auto"/>
        <w:right w:val="none" w:sz="0" w:space="0" w:color="auto"/>
      </w:divBdr>
      <w:divsChild>
        <w:div w:id="1565027805">
          <w:marLeft w:val="0"/>
          <w:marRight w:val="0"/>
          <w:marTop w:val="0"/>
          <w:marBottom w:val="0"/>
          <w:divBdr>
            <w:top w:val="none" w:sz="0" w:space="0" w:color="auto"/>
            <w:left w:val="none" w:sz="0" w:space="0" w:color="auto"/>
            <w:bottom w:val="none" w:sz="0" w:space="0" w:color="auto"/>
            <w:right w:val="none" w:sz="0" w:space="0" w:color="auto"/>
          </w:divBdr>
        </w:div>
        <w:div w:id="1893418162">
          <w:marLeft w:val="0"/>
          <w:marRight w:val="0"/>
          <w:marTop w:val="0"/>
          <w:marBottom w:val="0"/>
          <w:divBdr>
            <w:top w:val="none" w:sz="0" w:space="0" w:color="auto"/>
            <w:left w:val="none" w:sz="0" w:space="0" w:color="auto"/>
            <w:bottom w:val="none" w:sz="0" w:space="0" w:color="auto"/>
            <w:right w:val="none" w:sz="0" w:space="0" w:color="auto"/>
          </w:divBdr>
        </w:div>
      </w:divsChild>
    </w:div>
    <w:div w:id="221987966">
      <w:bodyDiv w:val="1"/>
      <w:marLeft w:val="0"/>
      <w:marRight w:val="0"/>
      <w:marTop w:val="0"/>
      <w:marBottom w:val="0"/>
      <w:divBdr>
        <w:top w:val="none" w:sz="0" w:space="0" w:color="auto"/>
        <w:left w:val="none" w:sz="0" w:space="0" w:color="auto"/>
        <w:bottom w:val="none" w:sz="0" w:space="0" w:color="auto"/>
        <w:right w:val="none" w:sz="0" w:space="0" w:color="auto"/>
      </w:divBdr>
      <w:divsChild>
        <w:div w:id="1951743589">
          <w:marLeft w:val="0"/>
          <w:marRight w:val="0"/>
          <w:marTop w:val="0"/>
          <w:marBottom w:val="0"/>
          <w:divBdr>
            <w:top w:val="none" w:sz="0" w:space="0" w:color="auto"/>
            <w:left w:val="none" w:sz="0" w:space="0" w:color="auto"/>
            <w:bottom w:val="none" w:sz="0" w:space="0" w:color="auto"/>
            <w:right w:val="none" w:sz="0" w:space="0" w:color="auto"/>
          </w:divBdr>
        </w:div>
        <w:div w:id="960302375">
          <w:marLeft w:val="0"/>
          <w:marRight w:val="0"/>
          <w:marTop w:val="0"/>
          <w:marBottom w:val="0"/>
          <w:divBdr>
            <w:top w:val="none" w:sz="0" w:space="0" w:color="auto"/>
            <w:left w:val="none" w:sz="0" w:space="0" w:color="auto"/>
            <w:bottom w:val="none" w:sz="0" w:space="0" w:color="auto"/>
            <w:right w:val="none" w:sz="0" w:space="0" w:color="auto"/>
          </w:divBdr>
        </w:div>
      </w:divsChild>
    </w:div>
    <w:div w:id="229774323">
      <w:bodyDiv w:val="1"/>
      <w:marLeft w:val="0"/>
      <w:marRight w:val="0"/>
      <w:marTop w:val="0"/>
      <w:marBottom w:val="0"/>
      <w:divBdr>
        <w:top w:val="none" w:sz="0" w:space="0" w:color="auto"/>
        <w:left w:val="none" w:sz="0" w:space="0" w:color="auto"/>
        <w:bottom w:val="none" w:sz="0" w:space="0" w:color="auto"/>
        <w:right w:val="none" w:sz="0" w:space="0" w:color="auto"/>
      </w:divBdr>
      <w:divsChild>
        <w:div w:id="1919746305">
          <w:marLeft w:val="0"/>
          <w:marRight w:val="0"/>
          <w:marTop w:val="0"/>
          <w:marBottom w:val="0"/>
          <w:divBdr>
            <w:top w:val="none" w:sz="0" w:space="0" w:color="auto"/>
            <w:left w:val="none" w:sz="0" w:space="0" w:color="auto"/>
            <w:bottom w:val="none" w:sz="0" w:space="0" w:color="auto"/>
            <w:right w:val="none" w:sz="0" w:space="0" w:color="auto"/>
          </w:divBdr>
        </w:div>
        <w:div w:id="2085685202">
          <w:marLeft w:val="0"/>
          <w:marRight w:val="0"/>
          <w:marTop w:val="0"/>
          <w:marBottom w:val="0"/>
          <w:divBdr>
            <w:top w:val="none" w:sz="0" w:space="0" w:color="auto"/>
            <w:left w:val="none" w:sz="0" w:space="0" w:color="auto"/>
            <w:bottom w:val="none" w:sz="0" w:space="0" w:color="auto"/>
            <w:right w:val="none" w:sz="0" w:space="0" w:color="auto"/>
          </w:divBdr>
        </w:div>
      </w:divsChild>
    </w:div>
    <w:div w:id="241256306">
      <w:bodyDiv w:val="1"/>
      <w:marLeft w:val="0"/>
      <w:marRight w:val="0"/>
      <w:marTop w:val="0"/>
      <w:marBottom w:val="0"/>
      <w:divBdr>
        <w:top w:val="none" w:sz="0" w:space="0" w:color="auto"/>
        <w:left w:val="none" w:sz="0" w:space="0" w:color="auto"/>
        <w:bottom w:val="none" w:sz="0" w:space="0" w:color="auto"/>
        <w:right w:val="none" w:sz="0" w:space="0" w:color="auto"/>
      </w:divBdr>
      <w:divsChild>
        <w:div w:id="1007295099">
          <w:marLeft w:val="0"/>
          <w:marRight w:val="0"/>
          <w:marTop w:val="0"/>
          <w:marBottom w:val="0"/>
          <w:divBdr>
            <w:top w:val="none" w:sz="0" w:space="0" w:color="auto"/>
            <w:left w:val="none" w:sz="0" w:space="0" w:color="auto"/>
            <w:bottom w:val="none" w:sz="0" w:space="0" w:color="auto"/>
            <w:right w:val="none" w:sz="0" w:space="0" w:color="auto"/>
          </w:divBdr>
        </w:div>
        <w:div w:id="1958101701">
          <w:marLeft w:val="0"/>
          <w:marRight w:val="0"/>
          <w:marTop w:val="0"/>
          <w:marBottom w:val="0"/>
          <w:divBdr>
            <w:top w:val="none" w:sz="0" w:space="0" w:color="auto"/>
            <w:left w:val="none" w:sz="0" w:space="0" w:color="auto"/>
            <w:bottom w:val="none" w:sz="0" w:space="0" w:color="auto"/>
            <w:right w:val="none" w:sz="0" w:space="0" w:color="auto"/>
          </w:divBdr>
        </w:div>
      </w:divsChild>
    </w:div>
    <w:div w:id="359669062">
      <w:bodyDiv w:val="1"/>
      <w:marLeft w:val="0"/>
      <w:marRight w:val="0"/>
      <w:marTop w:val="0"/>
      <w:marBottom w:val="0"/>
      <w:divBdr>
        <w:top w:val="none" w:sz="0" w:space="0" w:color="auto"/>
        <w:left w:val="none" w:sz="0" w:space="0" w:color="auto"/>
        <w:bottom w:val="none" w:sz="0" w:space="0" w:color="auto"/>
        <w:right w:val="none" w:sz="0" w:space="0" w:color="auto"/>
      </w:divBdr>
      <w:divsChild>
        <w:div w:id="1118140051">
          <w:marLeft w:val="0"/>
          <w:marRight w:val="0"/>
          <w:marTop w:val="0"/>
          <w:marBottom w:val="0"/>
          <w:divBdr>
            <w:top w:val="none" w:sz="0" w:space="0" w:color="auto"/>
            <w:left w:val="none" w:sz="0" w:space="0" w:color="auto"/>
            <w:bottom w:val="none" w:sz="0" w:space="0" w:color="auto"/>
            <w:right w:val="none" w:sz="0" w:space="0" w:color="auto"/>
          </w:divBdr>
        </w:div>
        <w:div w:id="118259234">
          <w:marLeft w:val="0"/>
          <w:marRight w:val="0"/>
          <w:marTop w:val="0"/>
          <w:marBottom w:val="0"/>
          <w:divBdr>
            <w:top w:val="none" w:sz="0" w:space="0" w:color="auto"/>
            <w:left w:val="none" w:sz="0" w:space="0" w:color="auto"/>
            <w:bottom w:val="none" w:sz="0" w:space="0" w:color="auto"/>
            <w:right w:val="none" w:sz="0" w:space="0" w:color="auto"/>
          </w:divBdr>
        </w:div>
      </w:divsChild>
    </w:div>
    <w:div w:id="360202959">
      <w:bodyDiv w:val="1"/>
      <w:marLeft w:val="0"/>
      <w:marRight w:val="0"/>
      <w:marTop w:val="0"/>
      <w:marBottom w:val="0"/>
      <w:divBdr>
        <w:top w:val="none" w:sz="0" w:space="0" w:color="auto"/>
        <w:left w:val="none" w:sz="0" w:space="0" w:color="auto"/>
        <w:bottom w:val="none" w:sz="0" w:space="0" w:color="auto"/>
        <w:right w:val="none" w:sz="0" w:space="0" w:color="auto"/>
      </w:divBdr>
      <w:divsChild>
        <w:div w:id="577440121">
          <w:marLeft w:val="0"/>
          <w:marRight w:val="0"/>
          <w:marTop w:val="0"/>
          <w:marBottom w:val="0"/>
          <w:divBdr>
            <w:top w:val="none" w:sz="0" w:space="0" w:color="auto"/>
            <w:left w:val="none" w:sz="0" w:space="0" w:color="auto"/>
            <w:bottom w:val="none" w:sz="0" w:space="0" w:color="auto"/>
            <w:right w:val="none" w:sz="0" w:space="0" w:color="auto"/>
          </w:divBdr>
        </w:div>
        <w:div w:id="2032562571">
          <w:marLeft w:val="0"/>
          <w:marRight w:val="0"/>
          <w:marTop w:val="0"/>
          <w:marBottom w:val="0"/>
          <w:divBdr>
            <w:top w:val="none" w:sz="0" w:space="0" w:color="auto"/>
            <w:left w:val="none" w:sz="0" w:space="0" w:color="auto"/>
            <w:bottom w:val="none" w:sz="0" w:space="0" w:color="auto"/>
            <w:right w:val="none" w:sz="0" w:space="0" w:color="auto"/>
          </w:divBdr>
        </w:div>
      </w:divsChild>
    </w:div>
    <w:div w:id="364797090">
      <w:bodyDiv w:val="1"/>
      <w:marLeft w:val="0"/>
      <w:marRight w:val="0"/>
      <w:marTop w:val="0"/>
      <w:marBottom w:val="0"/>
      <w:divBdr>
        <w:top w:val="none" w:sz="0" w:space="0" w:color="auto"/>
        <w:left w:val="none" w:sz="0" w:space="0" w:color="auto"/>
        <w:bottom w:val="none" w:sz="0" w:space="0" w:color="auto"/>
        <w:right w:val="none" w:sz="0" w:space="0" w:color="auto"/>
      </w:divBdr>
      <w:divsChild>
        <w:div w:id="460810855">
          <w:marLeft w:val="0"/>
          <w:marRight w:val="0"/>
          <w:marTop w:val="0"/>
          <w:marBottom w:val="0"/>
          <w:divBdr>
            <w:top w:val="none" w:sz="0" w:space="0" w:color="auto"/>
            <w:left w:val="none" w:sz="0" w:space="0" w:color="auto"/>
            <w:bottom w:val="none" w:sz="0" w:space="0" w:color="auto"/>
            <w:right w:val="none" w:sz="0" w:space="0" w:color="auto"/>
          </w:divBdr>
        </w:div>
        <w:div w:id="573201678">
          <w:marLeft w:val="0"/>
          <w:marRight w:val="0"/>
          <w:marTop w:val="0"/>
          <w:marBottom w:val="0"/>
          <w:divBdr>
            <w:top w:val="none" w:sz="0" w:space="0" w:color="auto"/>
            <w:left w:val="none" w:sz="0" w:space="0" w:color="auto"/>
            <w:bottom w:val="none" w:sz="0" w:space="0" w:color="auto"/>
            <w:right w:val="none" w:sz="0" w:space="0" w:color="auto"/>
          </w:divBdr>
        </w:div>
      </w:divsChild>
    </w:div>
    <w:div w:id="370040274">
      <w:bodyDiv w:val="1"/>
      <w:marLeft w:val="0"/>
      <w:marRight w:val="0"/>
      <w:marTop w:val="0"/>
      <w:marBottom w:val="0"/>
      <w:divBdr>
        <w:top w:val="none" w:sz="0" w:space="0" w:color="auto"/>
        <w:left w:val="none" w:sz="0" w:space="0" w:color="auto"/>
        <w:bottom w:val="none" w:sz="0" w:space="0" w:color="auto"/>
        <w:right w:val="none" w:sz="0" w:space="0" w:color="auto"/>
      </w:divBdr>
      <w:divsChild>
        <w:div w:id="1446656473">
          <w:marLeft w:val="0"/>
          <w:marRight w:val="0"/>
          <w:marTop w:val="0"/>
          <w:marBottom w:val="0"/>
          <w:divBdr>
            <w:top w:val="none" w:sz="0" w:space="0" w:color="auto"/>
            <w:left w:val="none" w:sz="0" w:space="0" w:color="auto"/>
            <w:bottom w:val="none" w:sz="0" w:space="0" w:color="auto"/>
            <w:right w:val="none" w:sz="0" w:space="0" w:color="auto"/>
          </w:divBdr>
        </w:div>
        <w:div w:id="1551720839">
          <w:marLeft w:val="0"/>
          <w:marRight w:val="0"/>
          <w:marTop w:val="0"/>
          <w:marBottom w:val="0"/>
          <w:divBdr>
            <w:top w:val="none" w:sz="0" w:space="0" w:color="auto"/>
            <w:left w:val="none" w:sz="0" w:space="0" w:color="auto"/>
            <w:bottom w:val="none" w:sz="0" w:space="0" w:color="auto"/>
            <w:right w:val="none" w:sz="0" w:space="0" w:color="auto"/>
          </w:divBdr>
        </w:div>
      </w:divsChild>
    </w:div>
    <w:div w:id="557857891">
      <w:bodyDiv w:val="1"/>
      <w:marLeft w:val="0"/>
      <w:marRight w:val="0"/>
      <w:marTop w:val="0"/>
      <w:marBottom w:val="0"/>
      <w:divBdr>
        <w:top w:val="none" w:sz="0" w:space="0" w:color="auto"/>
        <w:left w:val="none" w:sz="0" w:space="0" w:color="auto"/>
        <w:bottom w:val="none" w:sz="0" w:space="0" w:color="auto"/>
        <w:right w:val="none" w:sz="0" w:space="0" w:color="auto"/>
      </w:divBdr>
      <w:divsChild>
        <w:div w:id="1941571659">
          <w:marLeft w:val="0"/>
          <w:marRight w:val="0"/>
          <w:marTop w:val="0"/>
          <w:marBottom w:val="0"/>
          <w:divBdr>
            <w:top w:val="none" w:sz="0" w:space="0" w:color="auto"/>
            <w:left w:val="none" w:sz="0" w:space="0" w:color="auto"/>
            <w:bottom w:val="none" w:sz="0" w:space="0" w:color="auto"/>
            <w:right w:val="none" w:sz="0" w:space="0" w:color="auto"/>
          </w:divBdr>
        </w:div>
        <w:div w:id="528294735">
          <w:marLeft w:val="0"/>
          <w:marRight w:val="0"/>
          <w:marTop w:val="0"/>
          <w:marBottom w:val="0"/>
          <w:divBdr>
            <w:top w:val="none" w:sz="0" w:space="0" w:color="auto"/>
            <w:left w:val="none" w:sz="0" w:space="0" w:color="auto"/>
            <w:bottom w:val="none" w:sz="0" w:space="0" w:color="auto"/>
            <w:right w:val="none" w:sz="0" w:space="0" w:color="auto"/>
          </w:divBdr>
        </w:div>
      </w:divsChild>
    </w:div>
    <w:div w:id="575090017">
      <w:bodyDiv w:val="1"/>
      <w:marLeft w:val="0"/>
      <w:marRight w:val="0"/>
      <w:marTop w:val="0"/>
      <w:marBottom w:val="0"/>
      <w:divBdr>
        <w:top w:val="none" w:sz="0" w:space="0" w:color="auto"/>
        <w:left w:val="none" w:sz="0" w:space="0" w:color="auto"/>
        <w:bottom w:val="none" w:sz="0" w:space="0" w:color="auto"/>
        <w:right w:val="none" w:sz="0" w:space="0" w:color="auto"/>
      </w:divBdr>
      <w:divsChild>
        <w:div w:id="889999282">
          <w:marLeft w:val="0"/>
          <w:marRight w:val="0"/>
          <w:marTop w:val="0"/>
          <w:marBottom w:val="0"/>
          <w:divBdr>
            <w:top w:val="none" w:sz="0" w:space="0" w:color="auto"/>
            <w:left w:val="none" w:sz="0" w:space="0" w:color="auto"/>
            <w:bottom w:val="none" w:sz="0" w:space="0" w:color="auto"/>
            <w:right w:val="none" w:sz="0" w:space="0" w:color="auto"/>
          </w:divBdr>
        </w:div>
        <w:div w:id="21709566">
          <w:marLeft w:val="0"/>
          <w:marRight w:val="0"/>
          <w:marTop w:val="0"/>
          <w:marBottom w:val="0"/>
          <w:divBdr>
            <w:top w:val="none" w:sz="0" w:space="0" w:color="auto"/>
            <w:left w:val="none" w:sz="0" w:space="0" w:color="auto"/>
            <w:bottom w:val="none" w:sz="0" w:space="0" w:color="auto"/>
            <w:right w:val="none" w:sz="0" w:space="0" w:color="auto"/>
          </w:divBdr>
        </w:div>
      </w:divsChild>
    </w:div>
    <w:div w:id="654799399">
      <w:bodyDiv w:val="1"/>
      <w:marLeft w:val="0"/>
      <w:marRight w:val="0"/>
      <w:marTop w:val="0"/>
      <w:marBottom w:val="0"/>
      <w:divBdr>
        <w:top w:val="none" w:sz="0" w:space="0" w:color="auto"/>
        <w:left w:val="none" w:sz="0" w:space="0" w:color="auto"/>
        <w:bottom w:val="none" w:sz="0" w:space="0" w:color="auto"/>
        <w:right w:val="none" w:sz="0" w:space="0" w:color="auto"/>
      </w:divBdr>
      <w:divsChild>
        <w:div w:id="654723408">
          <w:marLeft w:val="0"/>
          <w:marRight w:val="0"/>
          <w:marTop w:val="0"/>
          <w:marBottom w:val="0"/>
          <w:divBdr>
            <w:top w:val="none" w:sz="0" w:space="0" w:color="auto"/>
            <w:left w:val="none" w:sz="0" w:space="0" w:color="auto"/>
            <w:bottom w:val="none" w:sz="0" w:space="0" w:color="auto"/>
            <w:right w:val="none" w:sz="0" w:space="0" w:color="auto"/>
          </w:divBdr>
        </w:div>
        <w:div w:id="607662201">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693193029">
      <w:bodyDiv w:val="1"/>
      <w:marLeft w:val="0"/>
      <w:marRight w:val="0"/>
      <w:marTop w:val="0"/>
      <w:marBottom w:val="0"/>
      <w:divBdr>
        <w:top w:val="none" w:sz="0" w:space="0" w:color="auto"/>
        <w:left w:val="none" w:sz="0" w:space="0" w:color="auto"/>
        <w:bottom w:val="none" w:sz="0" w:space="0" w:color="auto"/>
        <w:right w:val="none" w:sz="0" w:space="0" w:color="auto"/>
      </w:divBdr>
      <w:divsChild>
        <w:div w:id="812940665">
          <w:marLeft w:val="0"/>
          <w:marRight w:val="0"/>
          <w:marTop w:val="0"/>
          <w:marBottom w:val="0"/>
          <w:divBdr>
            <w:top w:val="none" w:sz="0" w:space="0" w:color="auto"/>
            <w:left w:val="none" w:sz="0" w:space="0" w:color="auto"/>
            <w:bottom w:val="none" w:sz="0" w:space="0" w:color="auto"/>
            <w:right w:val="none" w:sz="0" w:space="0" w:color="auto"/>
          </w:divBdr>
        </w:div>
        <w:div w:id="1205291167">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785388844">
      <w:bodyDiv w:val="1"/>
      <w:marLeft w:val="0"/>
      <w:marRight w:val="0"/>
      <w:marTop w:val="0"/>
      <w:marBottom w:val="0"/>
      <w:divBdr>
        <w:top w:val="none" w:sz="0" w:space="0" w:color="auto"/>
        <w:left w:val="none" w:sz="0" w:space="0" w:color="auto"/>
        <w:bottom w:val="none" w:sz="0" w:space="0" w:color="auto"/>
        <w:right w:val="none" w:sz="0" w:space="0" w:color="auto"/>
      </w:divBdr>
      <w:divsChild>
        <w:div w:id="563103204">
          <w:marLeft w:val="0"/>
          <w:marRight w:val="0"/>
          <w:marTop w:val="0"/>
          <w:marBottom w:val="0"/>
          <w:divBdr>
            <w:top w:val="none" w:sz="0" w:space="0" w:color="auto"/>
            <w:left w:val="none" w:sz="0" w:space="0" w:color="auto"/>
            <w:bottom w:val="none" w:sz="0" w:space="0" w:color="auto"/>
            <w:right w:val="none" w:sz="0" w:space="0" w:color="auto"/>
          </w:divBdr>
        </w:div>
        <w:div w:id="1777094092">
          <w:marLeft w:val="0"/>
          <w:marRight w:val="0"/>
          <w:marTop w:val="0"/>
          <w:marBottom w:val="0"/>
          <w:divBdr>
            <w:top w:val="none" w:sz="0" w:space="0" w:color="auto"/>
            <w:left w:val="none" w:sz="0" w:space="0" w:color="auto"/>
            <w:bottom w:val="none" w:sz="0" w:space="0" w:color="auto"/>
            <w:right w:val="none" w:sz="0" w:space="0" w:color="auto"/>
          </w:divBdr>
        </w:div>
      </w:divsChild>
    </w:div>
    <w:div w:id="815342274">
      <w:bodyDiv w:val="1"/>
      <w:marLeft w:val="0"/>
      <w:marRight w:val="0"/>
      <w:marTop w:val="0"/>
      <w:marBottom w:val="0"/>
      <w:divBdr>
        <w:top w:val="none" w:sz="0" w:space="0" w:color="auto"/>
        <w:left w:val="none" w:sz="0" w:space="0" w:color="auto"/>
        <w:bottom w:val="none" w:sz="0" w:space="0" w:color="auto"/>
        <w:right w:val="none" w:sz="0" w:space="0" w:color="auto"/>
      </w:divBdr>
      <w:divsChild>
        <w:div w:id="748775613">
          <w:marLeft w:val="0"/>
          <w:marRight w:val="0"/>
          <w:marTop w:val="0"/>
          <w:marBottom w:val="0"/>
          <w:divBdr>
            <w:top w:val="none" w:sz="0" w:space="0" w:color="auto"/>
            <w:left w:val="none" w:sz="0" w:space="0" w:color="auto"/>
            <w:bottom w:val="none" w:sz="0" w:space="0" w:color="auto"/>
            <w:right w:val="none" w:sz="0" w:space="0" w:color="auto"/>
          </w:divBdr>
        </w:div>
        <w:div w:id="938221074">
          <w:marLeft w:val="0"/>
          <w:marRight w:val="0"/>
          <w:marTop w:val="0"/>
          <w:marBottom w:val="0"/>
          <w:divBdr>
            <w:top w:val="none" w:sz="0" w:space="0" w:color="auto"/>
            <w:left w:val="none" w:sz="0" w:space="0" w:color="auto"/>
            <w:bottom w:val="none" w:sz="0" w:space="0" w:color="auto"/>
            <w:right w:val="none" w:sz="0" w:space="0" w:color="auto"/>
          </w:divBdr>
        </w:div>
      </w:divsChild>
    </w:div>
    <w:div w:id="871070118">
      <w:bodyDiv w:val="1"/>
      <w:marLeft w:val="0"/>
      <w:marRight w:val="0"/>
      <w:marTop w:val="0"/>
      <w:marBottom w:val="0"/>
      <w:divBdr>
        <w:top w:val="none" w:sz="0" w:space="0" w:color="auto"/>
        <w:left w:val="none" w:sz="0" w:space="0" w:color="auto"/>
        <w:bottom w:val="none" w:sz="0" w:space="0" w:color="auto"/>
        <w:right w:val="none" w:sz="0" w:space="0" w:color="auto"/>
      </w:divBdr>
      <w:divsChild>
        <w:div w:id="1964841649">
          <w:marLeft w:val="0"/>
          <w:marRight w:val="0"/>
          <w:marTop w:val="0"/>
          <w:marBottom w:val="0"/>
          <w:divBdr>
            <w:top w:val="none" w:sz="0" w:space="0" w:color="auto"/>
            <w:left w:val="none" w:sz="0" w:space="0" w:color="auto"/>
            <w:bottom w:val="none" w:sz="0" w:space="0" w:color="auto"/>
            <w:right w:val="none" w:sz="0" w:space="0" w:color="auto"/>
          </w:divBdr>
        </w:div>
        <w:div w:id="187181013">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160538452">
      <w:bodyDiv w:val="1"/>
      <w:marLeft w:val="0"/>
      <w:marRight w:val="0"/>
      <w:marTop w:val="0"/>
      <w:marBottom w:val="0"/>
      <w:divBdr>
        <w:top w:val="none" w:sz="0" w:space="0" w:color="auto"/>
        <w:left w:val="none" w:sz="0" w:space="0" w:color="auto"/>
        <w:bottom w:val="none" w:sz="0" w:space="0" w:color="auto"/>
        <w:right w:val="none" w:sz="0" w:space="0" w:color="auto"/>
      </w:divBdr>
      <w:divsChild>
        <w:div w:id="1166479354">
          <w:marLeft w:val="0"/>
          <w:marRight w:val="0"/>
          <w:marTop w:val="0"/>
          <w:marBottom w:val="0"/>
          <w:divBdr>
            <w:top w:val="none" w:sz="0" w:space="0" w:color="auto"/>
            <w:left w:val="none" w:sz="0" w:space="0" w:color="auto"/>
            <w:bottom w:val="none" w:sz="0" w:space="0" w:color="auto"/>
            <w:right w:val="none" w:sz="0" w:space="0" w:color="auto"/>
          </w:divBdr>
        </w:div>
        <w:div w:id="1745033730">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 w:id="1272669653">
      <w:bodyDiv w:val="1"/>
      <w:marLeft w:val="0"/>
      <w:marRight w:val="0"/>
      <w:marTop w:val="0"/>
      <w:marBottom w:val="0"/>
      <w:divBdr>
        <w:top w:val="none" w:sz="0" w:space="0" w:color="auto"/>
        <w:left w:val="none" w:sz="0" w:space="0" w:color="auto"/>
        <w:bottom w:val="none" w:sz="0" w:space="0" w:color="auto"/>
        <w:right w:val="none" w:sz="0" w:space="0" w:color="auto"/>
      </w:divBdr>
      <w:divsChild>
        <w:div w:id="1762219631">
          <w:marLeft w:val="0"/>
          <w:marRight w:val="0"/>
          <w:marTop w:val="0"/>
          <w:marBottom w:val="0"/>
          <w:divBdr>
            <w:top w:val="none" w:sz="0" w:space="0" w:color="auto"/>
            <w:left w:val="none" w:sz="0" w:space="0" w:color="auto"/>
            <w:bottom w:val="none" w:sz="0" w:space="0" w:color="auto"/>
            <w:right w:val="none" w:sz="0" w:space="0" w:color="auto"/>
          </w:divBdr>
        </w:div>
        <w:div w:id="1929918493">
          <w:marLeft w:val="0"/>
          <w:marRight w:val="0"/>
          <w:marTop w:val="0"/>
          <w:marBottom w:val="0"/>
          <w:divBdr>
            <w:top w:val="none" w:sz="0" w:space="0" w:color="auto"/>
            <w:left w:val="none" w:sz="0" w:space="0" w:color="auto"/>
            <w:bottom w:val="none" w:sz="0" w:space="0" w:color="auto"/>
            <w:right w:val="none" w:sz="0" w:space="0" w:color="auto"/>
          </w:divBdr>
        </w:div>
      </w:divsChild>
    </w:div>
    <w:div w:id="1592003831">
      <w:bodyDiv w:val="1"/>
      <w:marLeft w:val="0"/>
      <w:marRight w:val="0"/>
      <w:marTop w:val="0"/>
      <w:marBottom w:val="0"/>
      <w:divBdr>
        <w:top w:val="none" w:sz="0" w:space="0" w:color="auto"/>
        <w:left w:val="none" w:sz="0" w:space="0" w:color="auto"/>
        <w:bottom w:val="none" w:sz="0" w:space="0" w:color="auto"/>
        <w:right w:val="none" w:sz="0" w:space="0" w:color="auto"/>
      </w:divBdr>
      <w:divsChild>
        <w:div w:id="1377437836">
          <w:marLeft w:val="0"/>
          <w:marRight w:val="0"/>
          <w:marTop w:val="0"/>
          <w:marBottom w:val="0"/>
          <w:divBdr>
            <w:top w:val="none" w:sz="0" w:space="0" w:color="auto"/>
            <w:left w:val="none" w:sz="0" w:space="0" w:color="auto"/>
            <w:bottom w:val="none" w:sz="0" w:space="0" w:color="auto"/>
            <w:right w:val="none" w:sz="0" w:space="0" w:color="auto"/>
          </w:divBdr>
        </w:div>
        <w:div w:id="1525558347">
          <w:marLeft w:val="0"/>
          <w:marRight w:val="0"/>
          <w:marTop w:val="0"/>
          <w:marBottom w:val="0"/>
          <w:divBdr>
            <w:top w:val="none" w:sz="0" w:space="0" w:color="auto"/>
            <w:left w:val="none" w:sz="0" w:space="0" w:color="auto"/>
            <w:bottom w:val="none" w:sz="0" w:space="0" w:color="auto"/>
            <w:right w:val="none" w:sz="0" w:space="0" w:color="auto"/>
          </w:divBdr>
        </w:div>
      </w:divsChild>
    </w:div>
    <w:div w:id="1628853086">
      <w:bodyDiv w:val="1"/>
      <w:marLeft w:val="0"/>
      <w:marRight w:val="0"/>
      <w:marTop w:val="0"/>
      <w:marBottom w:val="0"/>
      <w:divBdr>
        <w:top w:val="none" w:sz="0" w:space="0" w:color="auto"/>
        <w:left w:val="none" w:sz="0" w:space="0" w:color="auto"/>
        <w:bottom w:val="none" w:sz="0" w:space="0" w:color="auto"/>
        <w:right w:val="none" w:sz="0" w:space="0" w:color="auto"/>
      </w:divBdr>
      <w:divsChild>
        <w:div w:id="195391526">
          <w:marLeft w:val="0"/>
          <w:marRight w:val="0"/>
          <w:marTop w:val="0"/>
          <w:marBottom w:val="0"/>
          <w:divBdr>
            <w:top w:val="none" w:sz="0" w:space="0" w:color="auto"/>
            <w:left w:val="none" w:sz="0" w:space="0" w:color="auto"/>
            <w:bottom w:val="none" w:sz="0" w:space="0" w:color="auto"/>
            <w:right w:val="none" w:sz="0" w:space="0" w:color="auto"/>
          </w:divBdr>
        </w:div>
        <w:div w:id="2039507174">
          <w:marLeft w:val="0"/>
          <w:marRight w:val="0"/>
          <w:marTop w:val="0"/>
          <w:marBottom w:val="0"/>
          <w:divBdr>
            <w:top w:val="none" w:sz="0" w:space="0" w:color="auto"/>
            <w:left w:val="none" w:sz="0" w:space="0" w:color="auto"/>
            <w:bottom w:val="none" w:sz="0" w:space="0" w:color="auto"/>
            <w:right w:val="none" w:sz="0" w:space="0" w:color="auto"/>
          </w:divBdr>
        </w:div>
      </w:divsChild>
    </w:div>
    <w:div w:id="1680808888">
      <w:bodyDiv w:val="1"/>
      <w:marLeft w:val="0"/>
      <w:marRight w:val="0"/>
      <w:marTop w:val="0"/>
      <w:marBottom w:val="0"/>
      <w:divBdr>
        <w:top w:val="none" w:sz="0" w:space="0" w:color="auto"/>
        <w:left w:val="none" w:sz="0" w:space="0" w:color="auto"/>
        <w:bottom w:val="none" w:sz="0" w:space="0" w:color="auto"/>
        <w:right w:val="none" w:sz="0" w:space="0" w:color="auto"/>
      </w:divBdr>
      <w:divsChild>
        <w:div w:id="896741545">
          <w:marLeft w:val="0"/>
          <w:marRight w:val="0"/>
          <w:marTop w:val="0"/>
          <w:marBottom w:val="0"/>
          <w:divBdr>
            <w:top w:val="none" w:sz="0" w:space="0" w:color="auto"/>
            <w:left w:val="none" w:sz="0" w:space="0" w:color="auto"/>
            <w:bottom w:val="none" w:sz="0" w:space="0" w:color="auto"/>
            <w:right w:val="none" w:sz="0" w:space="0" w:color="auto"/>
          </w:divBdr>
        </w:div>
        <w:div w:id="1693796673">
          <w:marLeft w:val="0"/>
          <w:marRight w:val="0"/>
          <w:marTop w:val="0"/>
          <w:marBottom w:val="0"/>
          <w:divBdr>
            <w:top w:val="none" w:sz="0" w:space="0" w:color="auto"/>
            <w:left w:val="none" w:sz="0" w:space="0" w:color="auto"/>
            <w:bottom w:val="none" w:sz="0" w:space="0" w:color="auto"/>
            <w:right w:val="none" w:sz="0" w:space="0" w:color="auto"/>
          </w:divBdr>
        </w:div>
      </w:divsChild>
    </w:div>
    <w:div w:id="1790587649">
      <w:bodyDiv w:val="1"/>
      <w:marLeft w:val="0"/>
      <w:marRight w:val="0"/>
      <w:marTop w:val="0"/>
      <w:marBottom w:val="0"/>
      <w:divBdr>
        <w:top w:val="none" w:sz="0" w:space="0" w:color="auto"/>
        <w:left w:val="none" w:sz="0" w:space="0" w:color="auto"/>
        <w:bottom w:val="none" w:sz="0" w:space="0" w:color="auto"/>
        <w:right w:val="none" w:sz="0" w:space="0" w:color="auto"/>
      </w:divBdr>
      <w:divsChild>
        <w:div w:id="976759831">
          <w:marLeft w:val="0"/>
          <w:marRight w:val="0"/>
          <w:marTop w:val="0"/>
          <w:marBottom w:val="0"/>
          <w:divBdr>
            <w:top w:val="none" w:sz="0" w:space="0" w:color="auto"/>
            <w:left w:val="none" w:sz="0" w:space="0" w:color="auto"/>
            <w:bottom w:val="none" w:sz="0" w:space="0" w:color="auto"/>
            <w:right w:val="none" w:sz="0" w:space="0" w:color="auto"/>
          </w:divBdr>
        </w:div>
        <w:div w:id="243492857">
          <w:marLeft w:val="0"/>
          <w:marRight w:val="0"/>
          <w:marTop w:val="0"/>
          <w:marBottom w:val="0"/>
          <w:divBdr>
            <w:top w:val="none" w:sz="0" w:space="0" w:color="auto"/>
            <w:left w:val="none" w:sz="0" w:space="0" w:color="auto"/>
            <w:bottom w:val="none" w:sz="0" w:space="0" w:color="auto"/>
            <w:right w:val="none" w:sz="0" w:space="0" w:color="auto"/>
          </w:divBdr>
        </w:div>
      </w:divsChild>
    </w:div>
    <w:div w:id="1997342676">
      <w:bodyDiv w:val="1"/>
      <w:marLeft w:val="0"/>
      <w:marRight w:val="0"/>
      <w:marTop w:val="0"/>
      <w:marBottom w:val="0"/>
      <w:divBdr>
        <w:top w:val="none" w:sz="0" w:space="0" w:color="auto"/>
        <w:left w:val="none" w:sz="0" w:space="0" w:color="auto"/>
        <w:bottom w:val="none" w:sz="0" w:space="0" w:color="auto"/>
        <w:right w:val="none" w:sz="0" w:space="0" w:color="auto"/>
      </w:divBdr>
      <w:divsChild>
        <w:div w:id="451752405">
          <w:marLeft w:val="0"/>
          <w:marRight w:val="0"/>
          <w:marTop w:val="0"/>
          <w:marBottom w:val="0"/>
          <w:divBdr>
            <w:top w:val="none" w:sz="0" w:space="0" w:color="auto"/>
            <w:left w:val="none" w:sz="0" w:space="0" w:color="auto"/>
            <w:bottom w:val="none" w:sz="0" w:space="0" w:color="auto"/>
            <w:right w:val="none" w:sz="0" w:space="0" w:color="auto"/>
          </w:divBdr>
        </w:div>
        <w:div w:id="1209142389">
          <w:marLeft w:val="0"/>
          <w:marRight w:val="0"/>
          <w:marTop w:val="0"/>
          <w:marBottom w:val="0"/>
          <w:divBdr>
            <w:top w:val="none" w:sz="0" w:space="0" w:color="auto"/>
            <w:left w:val="none" w:sz="0" w:space="0" w:color="auto"/>
            <w:bottom w:val="none" w:sz="0" w:space="0" w:color="auto"/>
            <w:right w:val="none" w:sz="0" w:space="0" w:color="auto"/>
          </w:divBdr>
        </w:div>
      </w:divsChild>
    </w:div>
    <w:div w:id="2014337006">
      <w:bodyDiv w:val="1"/>
      <w:marLeft w:val="0"/>
      <w:marRight w:val="0"/>
      <w:marTop w:val="0"/>
      <w:marBottom w:val="0"/>
      <w:divBdr>
        <w:top w:val="none" w:sz="0" w:space="0" w:color="auto"/>
        <w:left w:val="none" w:sz="0" w:space="0" w:color="auto"/>
        <w:bottom w:val="none" w:sz="0" w:space="0" w:color="auto"/>
        <w:right w:val="none" w:sz="0" w:space="0" w:color="auto"/>
      </w:divBdr>
      <w:divsChild>
        <w:div w:id="1337611774">
          <w:marLeft w:val="0"/>
          <w:marRight w:val="0"/>
          <w:marTop w:val="0"/>
          <w:marBottom w:val="0"/>
          <w:divBdr>
            <w:top w:val="none" w:sz="0" w:space="0" w:color="auto"/>
            <w:left w:val="none" w:sz="0" w:space="0" w:color="auto"/>
            <w:bottom w:val="none" w:sz="0" w:space="0" w:color="auto"/>
            <w:right w:val="none" w:sz="0" w:space="0" w:color="auto"/>
          </w:divBdr>
        </w:div>
        <w:div w:id="374043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6302</Words>
  <Characters>35924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2010-08-17T07:10:00Z</dcterms:created>
  <dcterms:modified xsi:type="dcterms:W3CDTF">2010-08-17T07:10:00Z</dcterms:modified>
</cp:coreProperties>
</file>