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89F" w:rsidRDefault="0081689F" w:rsidP="0081689F">
      <w:pPr>
        <w:pStyle w:val="Heading3"/>
        <w:bidi/>
        <w:rPr>
          <w:rFonts w:ascii="Arabic Transparent" w:hAnsi="Arabic Transparent" w:cs="Arabic Transparent"/>
          <w:rtl/>
        </w:rPr>
      </w:pPr>
      <w:r>
        <w:rPr>
          <w:rFonts w:ascii="Arabic Transparent" w:hAnsi="Arabic Transparent" w:cs="Arabic Transparent"/>
          <w:rtl/>
        </w:rPr>
        <w:t>چكيده</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از تازه‏ترين مباحث حقوق بين‏الملل در عرصه حقوق ديپلماتيك، سوء استفاده از مصونيتهاى ديپلماتيك است. در تحقيق حاضر، نخست مفهوم مصونيت تبيين شده و اسناد حقوق ديپلماتيك معرفى مى‏شود. پس از آن مبانى فلسفى و حقوقى اعطاى مصونيت به نمايندگان دولتها بررسى مى‏شود. از اين طريق هدف از سوء استفاده از مصونيتهاى ديپلماتيك روشن گرديده و دو اصل «عدم مداخله» و «احترام به قوانين و مقررات دولت پذيرنده» به عنوان اصول لازم الرعايه از سوى هيأتهاى نمايندگى دولتها مجال طرح مى‏يابند. در ادامه به برخى از مصاديق سوء استفاده از مصونيتها اشاره نموده، در پايان به ضمانت اجراى سوء استفاده از مصونيتها خواهيم پرداخت.</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واژگان كليدى: مصونيت سياسى، حقوق ديپلماتيك، حقوق بين‏الملل.</w:t>
      </w:r>
    </w:p>
    <w:p w:rsidR="0081689F" w:rsidRDefault="0081689F" w:rsidP="0081689F">
      <w:pPr>
        <w:pStyle w:val="Heading3"/>
        <w:bidi/>
        <w:rPr>
          <w:rFonts w:ascii="Arabic Transparent" w:hAnsi="Arabic Transparent" w:cs="Arabic Transparent"/>
          <w:rtl/>
        </w:rPr>
      </w:pPr>
      <w:r>
        <w:rPr>
          <w:rFonts w:ascii="Arabic Transparent" w:hAnsi="Arabic Transparent" w:cs="Arabic Transparent"/>
          <w:rtl/>
        </w:rPr>
        <w:t>مقدمه</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مصونيت ديپلماتيك، پيشينه‏اى ديرينه در تاريخ روابط دولتها و ملتها با يكديگر دارد.از اصولى كه ملل متمدن در طول تاريخ همواره آن را به ديده احترام و قداست رعايت نموده‏اند، اصل مصونيت فرستادگان است. «گروسيوس» پدر حقوق بين‏المللِ نوين در اين باره مى‏گويد:«دو اصل ثابت، همواره در قانون ملتها وجود داشته كه به سفيران تعلق دارد، نخست آنكه استقبال از سفيران لازم است و ديگر، بايد از هر گونه تعرض سوء نسبت به آنان بر حذر بود.»(الشامى: 426)</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مصونيت فرستادگان را اولين قاعده حقوق بين‏الملل دانسته‏اند.از قرن شانزدهم، مصونيت كيفرى فرستاده و از قرن هفدهم با استقرار سفارتخانه‏ها در اروپا مصونيت اماكن مأموريت به عنوان يك قاعده حقوق بين‏الملل نوين به رسميت شناخته شد.(</w:t>
      </w:r>
      <w:r>
        <w:rPr>
          <w:rFonts w:ascii="Arabic Transparent" w:hAnsi="Arabic Transparent" w:cs="Arabic Transparent"/>
        </w:rPr>
        <w:t>Denza</w:t>
      </w:r>
      <w:proofErr w:type="gramStart"/>
      <w:r>
        <w:rPr>
          <w:rFonts w:ascii="Arabic Transparent" w:hAnsi="Arabic Transparent" w:cs="Arabic Transparent"/>
        </w:rPr>
        <w:t>:94</w:t>
      </w:r>
      <w:proofErr w:type="gramEnd"/>
      <w:r>
        <w:rPr>
          <w:rFonts w:ascii="Arabic Transparent" w:hAnsi="Arabic Transparent" w:cs="Arabic Transparent"/>
          <w:rtl/>
        </w:rPr>
        <w:t>) قبل از اين تاريخ مأموريتها به صورت موقت بود و مأمور پس از ابلاغ مأموريت به كشور خويش باز مى‏گشت.</w:t>
      </w:r>
    </w:p>
    <w:p w:rsidR="0081689F" w:rsidRDefault="0081689F" w:rsidP="0081689F">
      <w:pPr>
        <w:pStyle w:val="Heading3"/>
        <w:bidi/>
        <w:rPr>
          <w:rFonts w:ascii="Arabic Transparent" w:hAnsi="Arabic Transparent" w:cs="Arabic Transparent"/>
          <w:rtl/>
        </w:rPr>
      </w:pPr>
      <w:r>
        <w:rPr>
          <w:rFonts w:ascii="Arabic Transparent" w:hAnsi="Arabic Transparent" w:cs="Arabic Transparent"/>
          <w:rtl/>
        </w:rPr>
        <w:t>مفهوم مصونيت (</w:t>
      </w:r>
      <w:r>
        <w:rPr>
          <w:rFonts w:ascii="Arabic Transparent" w:hAnsi="Arabic Transparent" w:cs="Arabic Transparent"/>
        </w:rPr>
        <w:t>Immunity</w:t>
      </w:r>
      <w:r>
        <w:rPr>
          <w:rFonts w:ascii="Arabic Transparent" w:hAnsi="Arabic Transparent" w:cs="Arabic Transparent"/>
          <w:rtl/>
        </w:rPr>
        <w:t>)</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مركز ثقل و هسته اصلى مباحث حقوق ديپلماتيك را مبحث مصونيتها و مزايا تشكيل مى‏دهد. از آنجا كه اين دو واژه در ادبيات حقوق ديپلماتيك، كنار هم آورده مى‏شوند، لازم است به هدف تعيين محدوده بحث، مفهوم و تفاوتهاى اين دو واژه - هر چند به اختصار- روشن گردد، كه البته به تبع آن مفاهيم وابسته، مانند مفهوم سوء استفاده از مصونيت نيز به دست خواهد آمد.</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«مصونيت» كلمه‏اى است كه در ادبيات حقوقى فارسى، معادل و ترجمه واژه (</w:t>
      </w:r>
      <w:r>
        <w:rPr>
          <w:rFonts w:ascii="Arabic Transparent" w:hAnsi="Arabic Transparent" w:cs="Arabic Transparent"/>
        </w:rPr>
        <w:t>Immunity</w:t>
      </w:r>
      <w:r>
        <w:rPr>
          <w:rFonts w:ascii="Arabic Transparent" w:hAnsi="Arabic Transparent" w:cs="Arabic Transparent"/>
          <w:rtl/>
        </w:rPr>
        <w:t>) در نظر گرفته شده است. مصونيت، مصدر جعلى؛ به معناى مصون ماندن و محفوظ بودن است.از نظر اشتقاق؛ كلمه «مصون» اسم مفعول به معناى حفاظت شده است و در لغت عرب ريشه «صون» هر جا به كار رود، در آن معناى محافظت نهفته است.(ر.ك: احمد بن فارس: 324؛ المنجد) با آنكه «مصونيت» واژه‏اى تازى است، ولى حقوقدانان عرب، واژه‏هايى چون حرمت، امتياز، استثنا، معافيت و حصانت را به عنوان ترجمه و معادل (</w:t>
      </w:r>
      <w:r>
        <w:rPr>
          <w:rFonts w:ascii="Arabic Transparent" w:hAnsi="Arabic Transparent" w:cs="Arabic Transparent"/>
        </w:rPr>
        <w:t>Immunity</w:t>
      </w:r>
      <w:r>
        <w:rPr>
          <w:rFonts w:ascii="Arabic Transparent" w:hAnsi="Arabic Transparent" w:cs="Arabic Transparent"/>
          <w:rtl/>
        </w:rPr>
        <w:t>) به كار مى‏برند، هرچند در معناى اخير بيشتر شايع است.(الحموى: 28) «مزايا» نيز در لغت جمع مزيّت، و از نظر اشتقاق، اسم مصدر به معناى افزونى، رجحان، برترى و امتياز است. مزيت از ريشه‏هاى (ميز) (مزّ) (مزو) (مزى) نيز آمده، كه در همه اينها معناى برترى و رجحان نهفته است. و هر كلمه‏اى كه از ريشه (مزى) اشتقاق يابد، در آن معناى برترى و كمال وجود دارد.(المنجد)</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واژه «مزيت» در ادبيات حقوقى فارسى و عربى، مرادف (</w:t>
      </w:r>
      <w:r>
        <w:rPr>
          <w:rFonts w:ascii="Arabic Transparent" w:hAnsi="Arabic Transparent" w:cs="Arabic Transparent"/>
        </w:rPr>
        <w:t>Privilege</w:t>
      </w:r>
      <w:r>
        <w:rPr>
          <w:rFonts w:ascii="Arabic Transparent" w:hAnsi="Arabic Transparent" w:cs="Arabic Transparent"/>
          <w:rtl/>
        </w:rPr>
        <w:t>) كه از ريشه لاتينى (</w:t>
      </w:r>
      <w:proofErr w:type="spellStart"/>
      <w:r>
        <w:rPr>
          <w:rFonts w:ascii="Arabic Transparent" w:hAnsi="Arabic Transparent" w:cs="Arabic Transparent"/>
        </w:rPr>
        <w:t>Privilegium</w:t>
      </w:r>
      <w:proofErr w:type="spellEnd"/>
      <w:r>
        <w:rPr>
          <w:rFonts w:ascii="Arabic Transparent" w:hAnsi="Arabic Transparent" w:cs="Arabic Transparent"/>
          <w:rtl/>
        </w:rPr>
        <w:t>) مشتق گرديده، به كار مى‏رود. «</w:t>
      </w:r>
      <w:r>
        <w:rPr>
          <w:rFonts w:ascii="Arabic Transparent" w:hAnsi="Arabic Transparent" w:cs="Arabic Transparent"/>
        </w:rPr>
        <w:t>Privilege</w:t>
      </w:r>
      <w:r>
        <w:rPr>
          <w:rFonts w:ascii="Arabic Transparent" w:hAnsi="Arabic Transparent" w:cs="Arabic Transparent"/>
          <w:rtl/>
        </w:rPr>
        <w:t>» در لغت بيگانه نيز در معانى امتياز، حق ويژه، برترى و معافيت به كار مى‏رود.(</w:t>
      </w:r>
      <w:proofErr w:type="spellStart"/>
      <w:proofErr w:type="gramStart"/>
      <w:r>
        <w:rPr>
          <w:rFonts w:ascii="Arabic Transparent" w:hAnsi="Arabic Transparent" w:cs="Arabic Transparent"/>
        </w:rPr>
        <w:t>webster,</w:t>
      </w:r>
      <w:proofErr w:type="gramEnd"/>
      <w:r>
        <w:rPr>
          <w:rFonts w:ascii="Arabic Transparent" w:hAnsi="Arabic Transparent" w:cs="Arabic Transparent"/>
        </w:rPr>
        <w:t>s</w:t>
      </w:r>
      <w:proofErr w:type="spellEnd"/>
      <w:r>
        <w:rPr>
          <w:rFonts w:ascii="Arabic Transparent" w:hAnsi="Arabic Transparent" w:cs="Arabic Transparent"/>
        </w:rPr>
        <w:t>: 1085</w:t>
      </w:r>
      <w:r>
        <w:rPr>
          <w:rFonts w:ascii="Arabic Transparent" w:hAnsi="Arabic Transparent" w:cs="Arabic Transparent"/>
          <w:rtl/>
        </w:rPr>
        <w:t>)</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اما در مفهوم حقوقى، مصونيت بطور كلى بدين معناست كه دارنده آن، از تعقيب قانون و مأموران دولت، در امان است و به بيان ديگر قانون و مجريان آن نمى‏توانند شخص دارنده آن را تعقيب كنند. و مقصود از مزايا آن است كه امتيازاتى به كسى داده شود كه ساير مردم، حق استفاده از آن را ندارند.(صدر: 77)</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lastRenderedPageBreak/>
        <w:t>تفاوت بين مصونيت و مزيت از نقطه نظر حقوق ديپلماتيك محل بحث و مناقشه فراوان بوده است. تا قبل از تصويب كنوانسيون 1961 وين در باره روابط ديپلماتيك ، دولتها از اصطلاح «مزايا» به گونه‏اى استفاده مى‏كردند كه هر دو اصطلاح مصونيت و مزيت را در بر مى‏گرفت، بدون آنكه معنى و مقصود خاصى از اين دو اصطلاح داشته و يا تفاوتى بين آن دو ببينند. از مباحث مورد مناقشه به هنگام تنظيم و بررسى كنوانسيون 1961، همين تفاوت بين مصونيت و مزيت بود. در نهايت در كنوانسيون مزبور اين دو اصطلاح به كار گرفته شد؛ ولى نه تعريفى از آنها ارائه گرديد و نه به بيان تفاوت پرداخته شد. در تنظيم ديگر كنوانسيونهاى حقوق ديپلماتيك نيز همين روش ادامه يافت. در اين كنوانسيونها ـ كه در ادامه معرفى خواهد شد ـ مصونيتها در موضوعاتى چون مصونيت شخصى، مصونيت قضايى (جزايى يا مدنى) مصونيت از اقدامات اجرايى و «مزايا» نيز در مواردى مانند معافيتهاى مالى، عوارض و گمركات، معافيت از تفتيش و بازرسى، بيمه خدمات اجتماعى به كار رفته‏اند. به نظر مى‏رسد اين تفكيك به هدف سهولت در بحث و تدوين بوده و يك تفاوت شكلى است نه يك تقسيم علمى، و تدوين كنندگان كنوانسيونهاى بين‏المللى به عمد وارد اين گونه مناقشات بى‏حاصل نشدند. تفاوت اساسى در آن است كه مصونيتها در ارتباط مستقيم با حقوق بين‏الملل است؛ بر خلاف مزايا كه حقوق داخلى كشورها در اين باره صلاحيت گسترده‏اى دارند و بر اساس رفتار متقابل برقرار مى‏گردد. بنابراين چنانچه از مزايا سوء استفاده گردد دولتها مى‏توانند بر اساس مقررات داخلى خود اينگونه امتيازات را محدود سازند.اما وضعيت در خصوص مصونيتها چنين نيست، كه بحث حاضر عهده دار بررسى آن است.</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قبل از آن لازم است ـ به اختصارـ دو موضوع، مورد اشاره قرار گيرد: نخست كنوانسيونهاى حقوق ديپلماتيك و ديگر مبانى اعطاى مصونيتهاى ديپلماتيك.</w:t>
      </w:r>
    </w:p>
    <w:p w:rsidR="0081689F" w:rsidRDefault="0081689F" w:rsidP="0081689F">
      <w:pPr>
        <w:pStyle w:val="Heading3"/>
        <w:bidi/>
        <w:rPr>
          <w:rFonts w:ascii="Arabic Transparent" w:hAnsi="Arabic Transparent" w:cs="Arabic Transparent"/>
          <w:rtl/>
        </w:rPr>
      </w:pPr>
      <w:r>
        <w:rPr>
          <w:rFonts w:ascii="Arabic Transparent" w:hAnsi="Arabic Transparent" w:cs="Arabic Transparent"/>
          <w:rtl/>
        </w:rPr>
        <w:t>كنوانسيونهاى حقوق ديپلماتيك:</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عرف و معاهدات بين‏المللى، دو منبع اصلى حقوق بين‏الملل شمرده مى‏شوند؛ امّا عرف كه در گذشته اهميتى بيش از معاهدات داشته، اكنون اهميت خود را به نفع معاهدات از دست داده است. كميسيون حقوق بين‏الملل سازمان ملل متحد كه بر اساس ماده 13 منشور، مأمور تدوين و توسعه حقوق بين‏الملل شده است، نخستين فعاليتهاى خود را از جمله به تدوين حقوق ديپلماتيك معطوف داشته است. حاصل تلاشهاى اين كميسيون در اين شاخه علم حقوق، تاكنون در كنوانسيونهايى به شرح ذيل است:</w:t>
      </w:r>
    </w:p>
    <w:p w:rsidR="0081689F" w:rsidRDefault="0081689F" w:rsidP="0081689F">
      <w:pPr>
        <w:pStyle w:val="Heading4"/>
        <w:bidi/>
        <w:rPr>
          <w:rFonts w:ascii="Arabic Transparent" w:hAnsi="Arabic Transparent" w:cs="Arabic Transparent"/>
          <w:rtl/>
        </w:rPr>
      </w:pPr>
      <w:r>
        <w:rPr>
          <w:rFonts w:ascii="Arabic Transparent" w:hAnsi="Arabic Transparent" w:cs="Arabic Transparent"/>
          <w:rtl/>
        </w:rPr>
        <w:t>1 ـ كنوانسيون وين درباره روابط ديپلماتيك (1961)</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w:t>
      </w:r>
      <w:proofErr w:type="spellStart"/>
      <w:r>
        <w:rPr>
          <w:rFonts w:ascii="Arabic Transparent" w:hAnsi="Arabic Transparent" w:cs="Arabic Transparent"/>
        </w:rPr>
        <w:t>vienna</w:t>
      </w:r>
      <w:proofErr w:type="spellEnd"/>
      <w:r>
        <w:rPr>
          <w:rFonts w:ascii="Arabic Transparent" w:hAnsi="Arabic Transparent" w:cs="Arabic Transparent"/>
        </w:rPr>
        <w:t xml:space="preserve"> convention on Diplomatic Relations (1961</w:t>
      </w:r>
      <w:r>
        <w:rPr>
          <w:rFonts w:ascii="Arabic Transparent" w:hAnsi="Arabic Transparent" w:cs="Arabic Transparent"/>
          <w:rtl/>
        </w:rPr>
        <w:t>))</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اين كنوانسيون بدون در نظر گرفتن ارتباط آن به عنوان يك معاهده بين‏المللى، متضمن مقرراتى است كه رويه عملى بين‏المللى، بر آن مبتنى است؛ زيرا منعكس‏كننده قواعد بين‏الملل عرفى است. به همين خاطر قواعد مدون و عرفى، در آن جنبه الزامى دارد و به قول كايه، عرف حاكم بر زمان خود را تثبيت نموده است. مشاور حقوقى سازمان ملل متحد در خصوص اين معاهده مى‏گويد: «مقررات عام يا عرفى موجود در اين كنوانسيون براى همه اعضاى جامعه بين‏المللى الزام آور است.»(</w:t>
      </w:r>
      <w:r>
        <w:rPr>
          <w:rFonts w:ascii="Arabic Transparent" w:hAnsi="Arabic Transparent" w:cs="Arabic Transparent"/>
        </w:rPr>
        <w:t>UNJY</w:t>
      </w:r>
      <w:proofErr w:type="gramStart"/>
      <w:r>
        <w:rPr>
          <w:rFonts w:ascii="Arabic Transparent" w:hAnsi="Arabic Transparent" w:cs="Arabic Transparent"/>
        </w:rPr>
        <w:t>:1967</w:t>
      </w:r>
      <w:proofErr w:type="gramEnd"/>
      <w:r>
        <w:rPr>
          <w:rFonts w:ascii="Arabic Transparent" w:hAnsi="Arabic Transparent" w:cs="Arabic Transparent"/>
        </w:rPr>
        <w:t>, P.311</w:t>
      </w:r>
      <w:r>
        <w:rPr>
          <w:rFonts w:ascii="Arabic Transparent" w:hAnsi="Arabic Transparent" w:cs="Arabic Transparent"/>
          <w:rtl/>
        </w:rPr>
        <w:t>) اغلب مقررات اين كنوانسيون درصدد هماهنگ كردن حقوق عرفى است. در نتيجه مى‏توان آن را به عنوان قرينه‏اى بر حقوق عرفى، حتى در برابر دولتهايى كه عضو معاهده نيستند، به كار گرفت.(</w:t>
      </w:r>
      <w:proofErr w:type="spellStart"/>
      <w:r>
        <w:rPr>
          <w:rFonts w:ascii="Arabic Transparent" w:hAnsi="Arabic Transparent" w:cs="Arabic Transparent"/>
        </w:rPr>
        <w:t>Akehurst</w:t>
      </w:r>
      <w:proofErr w:type="spellEnd"/>
      <w:r>
        <w:rPr>
          <w:rFonts w:ascii="Arabic Transparent" w:hAnsi="Arabic Transparent" w:cs="Arabic Transparent"/>
        </w:rPr>
        <w:t>: 114</w:t>
      </w:r>
      <w:r>
        <w:rPr>
          <w:rFonts w:ascii="Arabic Transparent" w:hAnsi="Arabic Transparent" w:cs="Arabic Transparent"/>
          <w:rtl/>
        </w:rPr>
        <w:t>) تا سال 1981 تعداد دولتهايى كه به اين كنوانسيون ملحق شدند 137 دولت بوده است كه اين كنوانسيون را به منبع مهمى در روابط ديپلماتيك تبديل كرده است.(</w:t>
      </w:r>
      <w:r>
        <w:rPr>
          <w:rFonts w:ascii="Arabic Transparent" w:hAnsi="Arabic Transparent" w:cs="Arabic Transparent"/>
        </w:rPr>
        <w:t>united, 1996: 287-305; 1961</w:t>
      </w:r>
      <w:r>
        <w:rPr>
          <w:rFonts w:ascii="Arabic Transparent" w:hAnsi="Arabic Transparent" w:cs="Arabic Transparent"/>
          <w:rtl/>
        </w:rPr>
        <w:t>) از اين پس به اختصار آن را «كنوانسيون 1961» مى‏گوييم.</w:t>
      </w:r>
    </w:p>
    <w:p w:rsidR="0081689F" w:rsidRDefault="0081689F" w:rsidP="0081689F">
      <w:pPr>
        <w:pStyle w:val="Heading4"/>
        <w:bidi/>
        <w:rPr>
          <w:rFonts w:ascii="Arabic Transparent" w:hAnsi="Arabic Transparent" w:cs="Arabic Transparent"/>
          <w:rtl/>
        </w:rPr>
      </w:pPr>
      <w:r>
        <w:rPr>
          <w:rFonts w:ascii="Arabic Transparent" w:hAnsi="Arabic Transparent" w:cs="Arabic Transparent"/>
          <w:rtl/>
        </w:rPr>
        <w:t xml:space="preserve">2 ـ كنوانسيون درباره مأموريتهاى ويژه(1969) </w:t>
      </w:r>
      <w:r>
        <w:rPr>
          <w:rFonts w:ascii="Arabic Transparent" w:hAnsi="Arabic Transparent" w:cs="Arabic Transparent"/>
        </w:rPr>
        <w:t>Convention on special missions</w:t>
      </w:r>
      <w:r>
        <w:rPr>
          <w:rFonts w:ascii="Arabic Transparent" w:hAnsi="Arabic Transparent" w:cs="Arabic Transparent"/>
          <w:rtl/>
        </w:rPr>
        <w:t xml:space="preserve"> (1969)</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 xml:space="preserve">روابط ديپلماتيك بر محور كنوانسيون 1961 به مأموريتهاى دائم مربوط مى‏شد. ولى گسترش روابط اقتصادى و صنعتى بين كشورها حضور متخصصان و كارشناسان را در مأموريتها ايجاب مى‏نمود و كارشناسان سياسى مقيم در اماكن مأموريت نيز قادر به پاسخگويى به اين نيازها نبودند. چاره كار در تأسيس «مأموريتهاى ويژه» بود. كميسيون حقوق بين‏الملل در پاسخ به اين نياز «كنوانسيون راجع به مأموريتهاى ويژه» را تنظيم نمود كه تا سال 1992، 27 دولت به </w:t>
      </w:r>
      <w:r>
        <w:rPr>
          <w:rFonts w:ascii="Arabic Transparent" w:hAnsi="Arabic Transparent" w:cs="Arabic Transparent"/>
          <w:rtl/>
        </w:rPr>
        <w:lastRenderedPageBreak/>
        <w:t>آن ملحق شدند. در نتيجه مطابق ماده 53 (1)كه پس از تسليم بيست و دومين سند تصويب يا الحاق، لازم الاجرا خواهد شد، هم اكنون لازم‏الاجراست. اين كنوانسيون بر مبناى كنوانسيون 1961 تنظيم گرديد و به مأموريتهاى موقت دوجانبه و فيمابين دولتها اختصاص دارد. (</w:t>
      </w:r>
      <w:proofErr w:type="spellStart"/>
      <w:r>
        <w:rPr>
          <w:rFonts w:ascii="Arabic Transparent" w:hAnsi="Arabic Transparent" w:cs="Arabic Transparent"/>
        </w:rPr>
        <w:t>Dembinski</w:t>
      </w:r>
      <w:proofErr w:type="spellEnd"/>
      <w:r>
        <w:rPr>
          <w:rFonts w:ascii="Arabic Transparent" w:hAnsi="Arabic Transparent" w:cs="Arabic Transparent"/>
        </w:rPr>
        <w:t>: 10 YILC: 1971, 2</w:t>
      </w:r>
      <w:r>
        <w:rPr>
          <w:rFonts w:ascii="Arabic Transparent" w:hAnsi="Arabic Transparent" w:cs="Arabic Transparent"/>
          <w:rtl/>
        </w:rPr>
        <w:t xml:space="preserve">, </w:t>
      </w:r>
      <w:r>
        <w:rPr>
          <w:rFonts w:ascii="Arabic Transparent" w:hAnsi="Arabic Transparent" w:cs="Arabic Transparent"/>
        </w:rPr>
        <w:t>part.IP.320</w:t>
      </w:r>
      <w:r>
        <w:rPr>
          <w:rFonts w:ascii="Arabic Transparent" w:hAnsi="Arabic Transparent" w:cs="Arabic Transparent"/>
          <w:rtl/>
        </w:rPr>
        <w:t>) و از اين پس به اختصار «كنوانسيون 1969» گفته مى‏شود.</w:t>
      </w:r>
    </w:p>
    <w:p w:rsidR="0081689F" w:rsidRDefault="0081689F" w:rsidP="0081689F">
      <w:pPr>
        <w:pStyle w:val="Heading4"/>
        <w:bidi/>
        <w:rPr>
          <w:rFonts w:ascii="Arabic Transparent" w:hAnsi="Arabic Transparent" w:cs="Arabic Transparent"/>
          <w:rtl/>
        </w:rPr>
      </w:pPr>
      <w:r>
        <w:rPr>
          <w:rFonts w:ascii="Arabic Transparent" w:hAnsi="Arabic Transparent" w:cs="Arabic Transparent"/>
          <w:rtl/>
        </w:rPr>
        <w:t>3 ـ كنوانسـيون وين راجع به نمايـندگى دولتها در روابطشان با سازمانهاى بين‏المللى جهانى (1975)</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كميسيون حقوق بين الملل، در مورد نمايندگى دولتها نزد سازمانهاى بين‏المللى معتقد بود، اين نوع نمايندگى نيز بايد در چارچوب حقوق ديپلماتيك قرار گيرد. به همين دليل مأموريتهاى دائم نزد سازمانهاى بين المللى را بر طبق كنوانسيون 1961، و هيأتهاى نمايندگى نزد اركان و كنفرانسهاى سازمان را بر طبق مقررات كنوانسيون 1969 تنظيم نمود و طرح نهايى خود را طى 82 ماده در سال 1971 به مجمع عمومى تقديم كرد.(</w:t>
      </w:r>
      <w:proofErr w:type="gramStart"/>
      <w:r>
        <w:rPr>
          <w:rFonts w:ascii="Arabic Transparent" w:hAnsi="Arabic Transparent" w:cs="Arabic Transparent"/>
        </w:rPr>
        <w:t>YILC, 1971-2-part.I.</w:t>
      </w:r>
      <w:proofErr w:type="gramEnd"/>
      <w:r>
        <w:rPr>
          <w:rFonts w:ascii="Arabic Transparent" w:hAnsi="Arabic Transparent" w:cs="Arabic Transparent"/>
        </w:rPr>
        <w:t xml:space="preserve"> PP. 278-338</w:t>
      </w:r>
      <w:r>
        <w:rPr>
          <w:rFonts w:ascii="Arabic Transparent" w:hAnsi="Arabic Transparent" w:cs="Arabic Transparent"/>
          <w:rtl/>
        </w:rPr>
        <w:t>) در سال 1975 كنفرانسى با عنوان «كنفرانس ملل متحد در مورد نمايندگى دول در روابطشان با سازمانهاى بين‏المللى» با حضور 81 كشور جهان، در وين تشكيل شد</w:t>
      </w:r>
      <w:proofErr w:type="gramStart"/>
      <w:r>
        <w:rPr>
          <w:rFonts w:ascii="Arabic Transparent" w:hAnsi="Arabic Transparent" w:cs="Arabic Transparent"/>
          <w:rtl/>
        </w:rPr>
        <w:t>.(</w:t>
      </w:r>
      <w:proofErr w:type="gramEnd"/>
      <w:r>
        <w:rPr>
          <w:rFonts w:ascii="Arabic Transparent" w:hAnsi="Arabic Transparent" w:cs="Arabic Transparent"/>
        </w:rPr>
        <w:t xml:space="preserve">United Nations: the work of </w:t>
      </w:r>
      <w:proofErr w:type="spellStart"/>
      <w:r>
        <w:rPr>
          <w:rFonts w:ascii="Arabic Transparent" w:hAnsi="Arabic Transparent" w:cs="Arabic Transparent"/>
        </w:rPr>
        <w:t>I.L.C.Op</w:t>
      </w:r>
      <w:proofErr w:type="spellEnd"/>
      <w:r>
        <w:rPr>
          <w:rFonts w:ascii="Arabic Transparent" w:hAnsi="Arabic Transparent" w:cs="Arabic Transparent"/>
        </w:rPr>
        <w:t xml:space="preserve"> cit, P.70</w:t>
      </w:r>
      <w:r>
        <w:rPr>
          <w:rFonts w:ascii="Arabic Transparent" w:hAnsi="Arabic Transparent" w:cs="Arabic Transparent"/>
          <w:rtl/>
        </w:rPr>
        <w:t>.)</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كنوانسيون با سى و پنجمين سند تسليم، لازم‏الاجرا خواهد شد؛ ولى تا 26 اكتبر 1994، 30 كشور سند تصويب يا الحاق را تسليم كردند. دولت جمهورى اسلامى ايران به اين كنوانسيون ملحق شده است. كنوانسيون مزبور تحت عنوان «قانون الحاق دولت جمهورى اسلامى ايران به كنوانسيون راجع به نمايندگى دول در روابط باسازمانهاى بين‏المللى جهانى» در 28/4/1367 به تصويب مجلس شوراى اسلامى رسيد.(مجموعه قوانين، 1367: 524-491)</w:t>
      </w:r>
    </w:p>
    <w:p w:rsidR="0081689F" w:rsidRDefault="0081689F" w:rsidP="0081689F">
      <w:pPr>
        <w:pStyle w:val="Heading4"/>
        <w:bidi/>
        <w:rPr>
          <w:rFonts w:ascii="Arabic Transparent" w:hAnsi="Arabic Transparent" w:cs="Arabic Transparent"/>
          <w:rtl/>
        </w:rPr>
      </w:pPr>
      <w:r>
        <w:rPr>
          <w:rFonts w:ascii="Arabic Transparent" w:hAnsi="Arabic Transparent" w:cs="Arabic Transparent"/>
          <w:rtl/>
        </w:rPr>
        <w:t>4ـ كنوانسيون راجع به جلوگيرى و مجازات جرايم عليه اشخاص مورد حمايت بين‏المللى از جمله مأموران سياسى (1973)</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 xml:space="preserve">در سال 1971، نمايندگى هلند در سازمان ملل متحد به دليل گسترش تروريسم و حمله عليه مأموريتهاى ديپلماتيك و اشخاص مورد حمايت بين‏المللى، به رئيس شوراى امنيت پيشنهاد داد كه اين موضوع مورد بررسى قرار گيرد. كميسيون حقوق بين‏الملل به دليل فوريت موضوع، در سال 1972 طرح خود را آماده كرد كه در 14 دسامبر 1973 «كنوانسيون راجع به جلوگيرى و مجازات جرايم عليه اشخاص مورد حمايت بين‏المللى من جمله مأموران سياسى» به تصويب مجمع عمومى سازمان ملل متحد رسيد. </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كنوانسيون فوق - از اين پس به اختصار كنوانسيون 1973- در سال 1357 به تصويب مجلس شوراى ملى ايران رسيد.(همان، 1357: 9-43) طبق ماده 1 اين كنوانسيون اشخاص مورد حمايت بين‏المللى عبارتند از: رؤساى كشور و دولت،وزراى خارجه، نمايندگان و كارمندان يا شخصيتهاى رسمى هر كشور، و يا نمايندگان و مأموران يكى از سازمانهاى بين‏المللى.اين كنوانسيون در واقع تأكيدى است بر حمايت از مأموران سياسى كشورها بر طبق مقررات و كنوانسيونهايى كه قبلا منعقد گرديده است. كنوانسيون1973 كه به آن، كنوانسيون نيويورك نيز مى‏گويند، در سال 1977 لازم‏الاجرا شد و هفتاد كشور، عضو آن مى‏باشند.(</w:t>
      </w:r>
      <w:proofErr w:type="spellStart"/>
      <w:r>
        <w:rPr>
          <w:rFonts w:ascii="Arabic Transparent" w:hAnsi="Arabic Transparent" w:cs="Arabic Transparent"/>
        </w:rPr>
        <w:t>Dembinski</w:t>
      </w:r>
      <w:proofErr w:type="spellEnd"/>
      <w:r>
        <w:rPr>
          <w:rFonts w:ascii="Arabic Transparent" w:hAnsi="Arabic Transparent" w:cs="Arabic Transparent"/>
        </w:rPr>
        <w:t>: OP.Cit:P.13</w:t>
      </w:r>
      <w:r>
        <w:rPr>
          <w:rFonts w:ascii="Arabic Transparent" w:hAnsi="Arabic Transparent" w:cs="Arabic Transparent"/>
          <w:rtl/>
        </w:rPr>
        <w:t>)</w:t>
      </w:r>
    </w:p>
    <w:p w:rsidR="0081689F" w:rsidRDefault="0081689F" w:rsidP="0081689F">
      <w:pPr>
        <w:pStyle w:val="Heading4"/>
        <w:bidi/>
        <w:rPr>
          <w:rFonts w:ascii="Arabic Transparent" w:hAnsi="Arabic Transparent" w:cs="Arabic Transparent"/>
          <w:rtl/>
        </w:rPr>
      </w:pPr>
      <w:r>
        <w:rPr>
          <w:rFonts w:ascii="Arabic Transparent" w:hAnsi="Arabic Transparent" w:cs="Arabic Transparent"/>
          <w:rtl/>
        </w:rPr>
        <w:t>5 ـ طرح كنوانسيون راجع به وضعيت پيك ديپلماتيك و كيسه ديپلماتيك كه همراه پيك ديپلماتيك نباشد.(1989)</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كنوانسيون فوق - به اختصار كنوانسيون 1989- در 32 ماده به سال 1989 به تصويب كميسيون حقوق بين‏الملل رسيد. هدف اين كنوانسيون متحدالشكل نمودن وضعيت پيكها و كيسه‏هاى انواع مأموريتهاى دولتها و سازمانهاى بين‏المللى است. همچنين اين كنوانسيون، مكمّل كنوانسيونهاى قبلى در خصوص پيك و كيسه ديپلماتيك مى‏باشد.(ماده32)(1). اين كنوانسيون آخرين تلاش كميسيون حقوق بين‏الملل در باره حقوق ديپلماتيك است.(</w:t>
      </w:r>
      <w:r>
        <w:rPr>
          <w:rFonts w:ascii="Arabic Transparent" w:hAnsi="Arabic Transparent" w:cs="Arabic Transparent"/>
        </w:rPr>
        <w:t xml:space="preserve">United Nations: </w:t>
      </w:r>
      <w:proofErr w:type="gramStart"/>
      <w:r>
        <w:rPr>
          <w:rFonts w:ascii="Arabic Transparent" w:hAnsi="Arabic Transparent" w:cs="Arabic Transparent"/>
        </w:rPr>
        <w:t>The</w:t>
      </w:r>
      <w:proofErr w:type="gramEnd"/>
      <w:r>
        <w:rPr>
          <w:rFonts w:ascii="Arabic Transparent" w:hAnsi="Arabic Transparent" w:cs="Arabic Transparent"/>
        </w:rPr>
        <w:t xml:space="preserve"> work of I.L.C. op cit, PP.192-205</w:t>
      </w:r>
      <w:r>
        <w:rPr>
          <w:rFonts w:ascii="Arabic Transparent" w:hAnsi="Arabic Transparent" w:cs="Arabic Transparent"/>
          <w:rtl/>
        </w:rPr>
        <w:t xml:space="preserve"> - </w:t>
      </w:r>
      <w:proofErr w:type="spellStart"/>
      <w:r>
        <w:rPr>
          <w:rFonts w:ascii="Arabic Transparent" w:hAnsi="Arabic Transparent" w:cs="Arabic Transparent"/>
        </w:rPr>
        <w:t>Dembinski</w:t>
      </w:r>
      <w:proofErr w:type="spellEnd"/>
      <w:r>
        <w:rPr>
          <w:rFonts w:ascii="Arabic Transparent" w:hAnsi="Arabic Transparent" w:cs="Arabic Transparent"/>
        </w:rPr>
        <w:t xml:space="preserve">: </w:t>
      </w:r>
      <w:proofErr w:type="spellStart"/>
      <w:r>
        <w:rPr>
          <w:rFonts w:ascii="Arabic Transparent" w:hAnsi="Arabic Transparent" w:cs="Arabic Transparent"/>
        </w:rPr>
        <w:t>OP.Cit</w:t>
      </w:r>
      <w:proofErr w:type="spellEnd"/>
      <w:r>
        <w:rPr>
          <w:rFonts w:ascii="Arabic Transparent" w:hAnsi="Arabic Transparent" w:cs="Arabic Transparent"/>
        </w:rPr>
        <w:t>, P.14</w:t>
      </w:r>
      <w:r>
        <w:rPr>
          <w:rFonts w:ascii="Arabic Transparent" w:hAnsi="Arabic Transparent" w:cs="Arabic Transparent"/>
          <w:rtl/>
        </w:rPr>
        <w:t>) كه هنوز در مرحله طرح بوده و لازم الاجرا نشده است.</w:t>
      </w:r>
    </w:p>
    <w:p w:rsidR="0081689F" w:rsidRDefault="0081689F" w:rsidP="0081689F">
      <w:pPr>
        <w:pStyle w:val="Heading3"/>
        <w:bidi/>
        <w:rPr>
          <w:rFonts w:ascii="Arabic Transparent" w:hAnsi="Arabic Transparent" w:cs="Arabic Transparent"/>
          <w:rtl/>
        </w:rPr>
      </w:pPr>
      <w:r>
        <w:rPr>
          <w:rFonts w:ascii="Arabic Transparent" w:hAnsi="Arabic Transparent" w:cs="Arabic Transparent"/>
          <w:rtl/>
        </w:rPr>
        <w:t>مبانى اعطاى مصونيت:</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lastRenderedPageBreak/>
        <w:t>تاريخ روابط ديپلماتيك نشان مى‏دهد كه دولتها بطور كلى نسبت به پذيرش مصونيت نمايندگان خارجى تمايل نداشته‏اند؛ زيرا بنابر قاعده كلى؛ حاكميت هر دولت بر كليه اشخاص و اشيايى كه در سرزمين آن واقع است اعمال مى‏گردد و قوانين در داخل مرزها نسبت به همه كس و همه چيز لازم الاجرا است، مگر مواردى كه قانون استثنا كرده باشد. مصونيت ديپلماتيك، محدوديتى بر حاكميت و تعطيل قانون داخلى به شمار مى‏آيد. در نتيجه اين سؤال مطرح مى‏شود كه فلسفه مصونيتهاى ديپلماتيك چيست؟</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حقوقدانان براى توجيه و تبيين آن، نظريات مختلفى ابراز داشته‏اند كه اهم آنها را سه نظريه نمايندگى، برون مرزى، و مصلحت خدمت، تشكيل مى‏دهد.</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الف ـ تئورى نمايندگى(</w:t>
      </w:r>
      <w:r>
        <w:rPr>
          <w:rFonts w:ascii="Arabic Transparent" w:hAnsi="Arabic Transparent" w:cs="Arabic Transparent"/>
        </w:rPr>
        <w:t>Representative Theory</w:t>
      </w:r>
      <w:r>
        <w:rPr>
          <w:rFonts w:ascii="Arabic Transparent" w:hAnsi="Arabic Transparent" w:cs="Arabic Transparent"/>
          <w:rtl/>
        </w:rPr>
        <w:t xml:space="preserve">) </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تئورى نمايندگى، در طول مراحل قبل از قرن بيستم مورد توجه بوده است. شايد بهترين سخن در بيان اين تئورى همان گفته منتسكيو باشد. وى كه خود از طرفداران اين تئورى است، در كتاب روح القوانين مى‏گويد: «از جمله حقوق ملتها آن است كه اميران آنان به مبادله سفيران اقدام نمايند. سفيران از كشور پذيرنده و حاكم آن‏اطاعت نخواهند كرد. آنان زبان مقام فرستنده‏اند؛ اين زبان بايد آزاد باشد. به نيابت از يك شخصيت مستقل سخن مى‏گويند و هيچ چيزى نبايد مانع آنان گردد... چنانچه از صفت نمايندگى سوء استفاده نمايند با روانه كردن به كشورشان مى‏توان از آن جلوگيرى نمود.» منتسكيو در اين گفته هم به فلسفه مصونيت كه وصف نمايندگى است و هم به ضمانت اجراى سوء استفاده‏ازآن، يعنى اخراج، اشاره مى‏كند.(صدر: 79)</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از ديگر مدافعان اين تئورى «فوشى» است كه مى‏گويد: «دليل وجود مصونيتها همان وصف نمايندگى است و بايد از استقلال لازم جهت انجام مأموريت برخوردار گردند و از هر گونه تعدى بر كرامت ملتهايى كه به مبادله سفيران اقدام نمودند، بايد اجتناب شود.»(الشامى: 447)</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بنابراين به خاطر وصف نمايندگى از مقام فرستنده است كه مقامات پذيرنده، مأموران سياسى را به رسميت شناخته و مصونيت مى‏دهند.</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ب ـ تئورى برون مرزى:</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تئورى فوق برگرفته از كلمه لاتينى (</w:t>
      </w:r>
      <w:proofErr w:type="spellStart"/>
      <w:r>
        <w:rPr>
          <w:rFonts w:ascii="Arabic Transparent" w:hAnsi="Arabic Transparent" w:cs="Arabic Transparent"/>
        </w:rPr>
        <w:t>Extra,Territorium</w:t>
      </w:r>
      <w:proofErr w:type="spellEnd"/>
      <w:r>
        <w:rPr>
          <w:rFonts w:ascii="Arabic Transparent" w:hAnsi="Arabic Transparent" w:cs="Arabic Transparent"/>
          <w:rtl/>
        </w:rPr>
        <w:t>) است كه به «خارج سرزمين»، «خارج از كشور» يا «خارج از سرزمين يك دولت» ترجمه شده است.نظريه «امتداد سرزمين» و « خارج المملكتى» نامهاى ديگر اين تئورى‏اند كه ناشى از اختلاف در ترجمه است. همچنين واژه مذكور به «امتيازات بيگانگان» «تابعيت وطن»، «فرامرزى بودن قوانين»، «منطقه ممنوعه»، «معافيت از صلاحيت سرزمين» نيز ترجمه شده است.(الحموى: 28)</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اين نظريه بر اين فرض (</w:t>
      </w:r>
      <w:r>
        <w:rPr>
          <w:rFonts w:ascii="Arabic Transparent" w:hAnsi="Arabic Transparent" w:cs="Arabic Transparent"/>
        </w:rPr>
        <w:t>Fiction</w:t>
      </w:r>
      <w:r>
        <w:rPr>
          <w:rFonts w:ascii="Arabic Transparent" w:hAnsi="Arabic Transparent" w:cs="Arabic Transparent"/>
          <w:rtl/>
        </w:rPr>
        <w:t>) مبتنى است كه مأمور سياسى، خارج از سلطه سرزمين دولت پذيرنده قرار دارد. و گويا سفير، سرزمين خود را ترك نگفته و اقامت او در سرزمين بيگانه به مثابه امتداد اقامت او در وطن مى‏باشد. به عبارت ديگر تصور مى‏شود كه اماكن مأموريت، امتداد سرزمين دولت فرستنده است.</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مبتكر اين نظريه «گروسيوس» حقوقدان معروف هلندى است كه مى‏گويد: «به موجب حقوق بين‏الملل، تجلى شخص رئيس كشور در شخص سفير، يك فرض است و با فرض مشابهى، مثل اين است كه سفير، خارج از خاك دولتى است كه نزد آن انجام وظيفه مى‏كند. در نتيجه مكلف نيست قوانين محل مأموريت را رعايت نمايد.»(الشامى: 452)</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اُپنهايم مى‏گويد: «حقيقت آن است كه بايد با مأموران سياسى به گونه‏اى رفتار شود كه در سرزمين دولت پذيرنده اقامت ندارند»(793)</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 xml:space="preserve">تئورى برون‏مرزى، با واقعيتهاى معاصر حقوق بين‏الملل، منطبق نيست و به نتايج غير قابل قبولى مى‏انجامد. به همين دليل اكنون مدافعى ندارد. به عنوان نمونه؛ رعايت مقررات امنيتى دولت پذيرنده، پرداخت عوارض و مالياتهاى محلّى در </w:t>
      </w:r>
      <w:r>
        <w:rPr>
          <w:rFonts w:ascii="Arabic Transparent" w:hAnsi="Arabic Transparent" w:cs="Arabic Transparent"/>
          <w:rtl/>
        </w:rPr>
        <w:lastRenderedPageBreak/>
        <w:t>برابر خدمات معين، صلاحيت دولت محل وقوع مال غير منقول، از موارد متفق عليه در حقوق بين‏الملل است كه با نظريه برون‏مرزى سازگار نيست.</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ج ـ تئورى مصلحت خدمت:</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مضمون اين تئورى كه به تئورى «مصلحت خدمت» «مقتضاى وظيفه» و «ضرورت وظيفه» نيز نام گرفته(</w:t>
      </w:r>
      <w:r>
        <w:rPr>
          <w:rFonts w:ascii="Arabic Transparent" w:hAnsi="Arabic Transparent" w:cs="Arabic Transparent"/>
        </w:rPr>
        <w:t>Interest of function) (Functional Theory) (Functional necessity</w:t>
      </w:r>
      <w:r>
        <w:rPr>
          <w:rFonts w:ascii="Arabic Transparent" w:hAnsi="Arabic Transparent" w:cs="Arabic Transparent"/>
          <w:rtl/>
        </w:rPr>
        <w:t>) آن است كه مصلحت و ضرورت پيشرفت كار مأمور سياسى، در يك جو آرام و به دور از تأثيرات دولت پذيرنده، نيازمند برخوردارى از مصونيت است. به عبارت ديگر براى آنكه مأمور سياسى مأموريتش را در شرايط مساعد و استقلال كامل انجام دهد، لازم است در نظام حقوقى كشور پذيرنده در حد گسترده‏اى از آزادى عمل برخوردار باشد. اين آزادى عمل چيزى جز بهره‏مندى از امتيازات و مصونيتها نخواهد بود. اين تئورى، به طور گسترده‏اى مورد تأييد قرار گرفته و حقوقدانانى چون واتل، آغدن (</w:t>
      </w:r>
      <w:proofErr w:type="spellStart"/>
      <w:r>
        <w:rPr>
          <w:rFonts w:ascii="Arabic Transparent" w:hAnsi="Arabic Transparent" w:cs="Arabic Transparent"/>
        </w:rPr>
        <w:t>Ogdon</w:t>
      </w:r>
      <w:proofErr w:type="spellEnd"/>
      <w:r>
        <w:rPr>
          <w:rFonts w:ascii="Arabic Transparent" w:hAnsi="Arabic Transparent" w:cs="Arabic Transparent"/>
          <w:rtl/>
        </w:rPr>
        <w:t>)، و هرست،از مدافعان آن به حساب مى آيند.(الملاح: 32؛ صدر: 83)</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در ديباچه كنوانسيون 1961 آمده است: «منظور از مصونيتها و مزاياى مذكور منتفع ساختن افراد نيست؛ بلكه مراد، حسن اجراى وظايف مأموريتهاى ديپلماتيك به عنوان نمايندگان دولتها مى‏باشد...» در ديباچه كنوانسيونهاى 1969 و 1975 نيز همين مضمون، آمده است. ديوان بين‏المللى دادگسترى در قضيه كاركنان ديپلماتيك و كنسولى ايالات متحده در تهران نيز بر اين نكته تأكيد ورزيده و مى‏گويد:«مصونيت ديپلماتها ناشى از ويژگى نمايندگى و وظيفه ديپلماتيك آنان است.»(ابوالوفاء: 134)</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بنابراين اعطاى مصونيت به نمايندگان دول به هدف تأمين اطمينان آنان در اجراى وظايف است و هدف، منتفع ساختن شخص آنان نيست. مصونيت به اعتبار مقام فرستنده براى آنان در نظر گرفته مى‏شود. پاسداشت چنين امتيازى نشان از شخصيت و كرامت فرستنده داشته و هر گونه سوء استفاده از آن نيز لطمه به اعتبار مقامى است كه او را به مأموريت برون‏مرزى فرستاده است.</w:t>
      </w:r>
    </w:p>
    <w:p w:rsidR="0081689F" w:rsidRDefault="0081689F" w:rsidP="0081689F">
      <w:pPr>
        <w:pStyle w:val="Heading3"/>
        <w:bidi/>
        <w:rPr>
          <w:rFonts w:ascii="Arabic Transparent" w:hAnsi="Arabic Transparent" w:cs="Arabic Transparent"/>
          <w:rtl/>
        </w:rPr>
      </w:pPr>
      <w:r>
        <w:rPr>
          <w:rFonts w:ascii="Arabic Transparent" w:hAnsi="Arabic Transparent" w:cs="Arabic Transparent"/>
          <w:rtl/>
        </w:rPr>
        <w:t>تعهدات متقابل دولتهاى فرستنده وپذيرنده:</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روابط ديپلماتيك ميان دولتها بر اساس رضايت متقابل، تأسيس و برقرار مى‏گردد. وجود چنين رابطه‏اى نشان از دوستى و علاقه‏مندى طرفين به توسعه و تحكيم روابط بين دو دولت و ملت دارد. مهم‏ترين نقش را در اين باره نمايندگان سياسى دو كشور ايفا مى‏نمايند. آنان به طور رسمى نمايندگان دولت متبوع اند؛ ولى در واقع نمايندگان فرهنگ، ايده، آداب و رسوم سرزمين خويشند. چنانچه دولتى نماينده‏اى به يك سرزمين مى‏فرستد، در مقابل، نماينده‏اى نيز مى‏پذيرد. در هر نمايندگى، طرفين رابطه، دولت فرستنده (</w:t>
      </w:r>
      <w:r>
        <w:rPr>
          <w:rFonts w:ascii="Arabic Transparent" w:hAnsi="Arabic Transparent" w:cs="Arabic Transparent"/>
        </w:rPr>
        <w:t>sending state</w:t>
      </w:r>
      <w:r>
        <w:rPr>
          <w:rFonts w:ascii="Arabic Transparent" w:hAnsi="Arabic Transparent" w:cs="Arabic Transparent"/>
          <w:rtl/>
        </w:rPr>
        <w:t>) و دولت پذيرنده (</w:t>
      </w:r>
      <w:r>
        <w:rPr>
          <w:rFonts w:ascii="Arabic Transparent" w:hAnsi="Arabic Transparent" w:cs="Arabic Transparent"/>
        </w:rPr>
        <w:t>receiving state</w:t>
      </w:r>
      <w:r>
        <w:rPr>
          <w:rFonts w:ascii="Arabic Transparent" w:hAnsi="Arabic Transparent" w:cs="Arabic Transparent"/>
          <w:rtl/>
        </w:rPr>
        <w:t>)مى‏باشند و در نمايندگى نزد سازمانهاى بين المللى علاوه بر مقام فرستنده و پذيرنده دولت ميزبان، سازمان بين‏المللى (</w:t>
      </w:r>
      <w:r>
        <w:rPr>
          <w:rFonts w:ascii="Arabic Transparent" w:hAnsi="Arabic Transparent" w:cs="Arabic Transparent"/>
        </w:rPr>
        <w:t>host state</w:t>
      </w:r>
      <w:r>
        <w:rPr>
          <w:rFonts w:ascii="Arabic Transparent" w:hAnsi="Arabic Transparent" w:cs="Arabic Transparent"/>
          <w:rtl/>
        </w:rPr>
        <w:t>)نيز وجود دارد كه يك رابطه ديپلماتيك سه جانبه شكل مى‏گيرد.</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بى ترديد رعايت و انجام تعهدات پيش‏بينى شده توسط دولتهاى ميزبان و فرستنده، آنها را در وصول به اهداف و مقاصد مشترك در روابط دو جانبه و نيل به همكاريهاى مشترك و فعال در زمينه ديپلماسى چند جانبه مساعدت خواهد نمود. نمايندگان دولت فرستنده در صورتى كه دولت پذيرنده به تعهدات خود عمل نمايد، خواهند توانست به طور مستقل و مطمئن به انجام وظايف بپردازند. در نقطه مقابل، رعايت قوانين و مقررات دولت پذيرنده و عدم مداخله در امور داخلى از سوى اعضاى نمايندگى در روابط دو جانبه از تيرگى و بحران روابط جلوگيرى خواهد كرد و در ديپلماسى چند جانبه فعاليتهاى آنان را با محدوديتها و تضييقات دولت ميزبان مواجه نخواهد ساخت.</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 xml:space="preserve">ديوان بين‏المللى دادگسترى در قضيه كاركنان ديپلماتيك و كنسولى ايالات متحده در تهران، مى‏گويد: «مقررات و قواعد حقوق ديپلماتيك، در بردارنده رژيمى است كه از يك سو تعهدات دولت پذيرنده را در مورد تسهيلات، مزايا و مصونيتها معين مى‏نمايد و از سوى ديگر پيش‏بينى‏هاى ممكن را براى مقابله با هر گونه سوء استفاده اعضاى مأموريت در اختيار دولت پذيرنده قرار مى‏دهد»(40) بنابراين بين تعهدات و وظايف دولتين پذيرنده و فرستنده، توازن برقرار مى‏گردد. چنانچه دولت پذيرنده متعهد به اعطاى مصونيت است، دولت فرستنده نيز در مقابل موظف است قوانين و مقررات دولت </w:t>
      </w:r>
      <w:r>
        <w:rPr>
          <w:rFonts w:ascii="Arabic Transparent" w:hAnsi="Arabic Transparent" w:cs="Arabic Transparent"/>
          <w:rtl/>
        </w:rPr>
        <w:lastRenderedPageBreak/>
        <w:t>پذيرنده و ميزبان را رعايت نموده، از مداخله در امور داخلى آن پرهيز كند. دولت فرستنده در برابر رفتار و اعمال نمايندگان خود مسؤوليت دارد و حقوق بين‏الملل، اين دولت را در موضع مسؤوليت نسبت به تمام اعمال نمايندگان خود كه موجب ايراد ضرر به دولت ميزبان يا اتباع او گردند، قرار مى‏دهد.(</w:t>
      </w:r>
      <w:proofErr w:type="spellStart"/>
      <w:r>
        <w:rPr>
          <w:rFonts w:ascii="Arabic Transparent" w:hAnsi="Arabic Transparent" w:cs="Arabic Transparent"/>
        </w:rPr>
        <w:t>Oppenhiem</w:t>
      </w:r>
      <w:proofErr w:type="spellEnd"/>
      <w:r>
        <w:rPr>
          <w:rFonts w:ascii="Arabic Transparent" w:hAnsi="Arabic Transparent" w:cs="Arabic Transparent"/>
        </w:rPr>
        <w:t>: 359</w:t>
      </w:r>
      <w:r>
        <w:rPr>
          <w:rFonts w:ascii="Arabic Transparent" w:hAnsi="Arabic Transparent" w:cs="Arabic Transparent"/>
          <w:rtl/>
        </w:rPr>
        <w:t>)</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در ميان رفتارهاى نمايندگان در كشور ميزبان، دو اصل بيش از همه مورد توجه قرار گرفته و در كليه اسناد حقوق ديپلماتيك تكرار شده‏اند كه عبارت‏اند از: اصل عدم مداخله و اصل احترام به قوانين و مقررات دولت ميزبان.</w:t>
      </w:r>
      <w:r>
        <w:rPr>
          <w:rFonts w:ascii="Arabic Transparent" w:hAnsi="Arabic Transparent" w:cs="Arabic Transparent"/>
          <w:vertAlign w:val="superscript"/>
          <w:rtl/>
        </w:rPr>
        <w:t>(3)</w:t>
      </w:r>
    </w:p>
    <w:p w:rsidR="0081689F" w:rsidRDefault="0081689F" w:rsidP="0081689F">
      <w:pPr>
        <w:pStyle w:val="Heading4"/>
        <w:bidi/>
        <w:rPr>
          <w:rFonts w:ascii="Arabic Transparent" w:hAnsi="Arabic Transparent" w:cs="Arabic Transparent"/>
          <w:rtl/>
        </w:rPr>
      </w:pPr>
      <w:r>
        <w:rPr>
          <w:rFonts w:ascii="Arabic Transparent" w:hAnsi="Arabic Transparent" w:cs="Arabic Transparent"/>
          <w:rtl/>
        </w:rPr>
        <w:t>الف - اصل عدم مداخله:</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 xml:space="preserve">عدم مداخله در امور داخلى يك دولت، از اصول مسلم حقوق بين‏الملل و انعكاسى از اصل حاكميت و برابرى دولتهاست. هيچ دولتى بدون آنكه خود بخواهد، مداخله در امور داخلى خود را اجازه نمى‏دهد. نويسندگان حقوق بين‏الملل به تفصيل در مورد اصل عدم مداخله، قلم فرسايى كرده‏اند.(ر.ك: كلييار: 562-540؛ كاسسه: 5-180؛ هالستى: 466-423) ولى به عدم مداخله نمايندگان دول كه يكى از مصاديق اصل است به ندرت پرداخته‏اند. </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جانبدارى از احزاب و گروه‏هاى سياسى،نشر و توزيع مطبوعات مخالف، اتخاذ موضع در انتخابات، مشاركت در گردهماييها، انتقاد از سياست داخلى و خارجى دولت ميزبان و هر گونه اقدامى كه ناديده گرفتن اصل حاكميت تلقى گردد، از جمله موارد مداخله به حساب مى‏آيد.</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اصل عدم مداخله نمايندگان دولتها، يك رويه عرفى و مقبول است. ولى از آنجا كه امور داخلى كشورها تأثير مهم و روزافزونى بر سياست خارجى دارد، در موارد بى شمارى اين اصل با نيرنگ ناديده گرفته مى‏شود، كمكهاى مالى يا اقتصادى، يكى از انواع آن نيرنگهاست. ديپلماتهاى كشورهاى غربى و اروپايى با برانگيختن بى‏نظمى‏هاى داخلى، كمك به دسته‏هاى سياسى خرابكار، انتشار تبليغات پنهانى، آموزش نيروهاى امنيتى و گاه شكنجه‏گران براى سركوب شهروندان ناراضى، سابقه چشمگيرى در مداخله در امور داخلى ديگر كشورها دارند.(كلييار: 540، هالستى: 290) مداخله 25 ساله امريكا در امور داخلى ايران، نمونه بارز ناديده گرفتن اصل عدم مداخله نمايندگان دولتها در امور داخلى كشورهاست. در قضيه سفارتخانه امريكا در تهران و شكايت دولت امريكا به ديوان، وزارت خارجه وقت ايران طى يادداشتى به ديوان از جمله اظهار داشت: در رسيدگى به اين قضيه مداخله 25 ساله دولت امريكا در ايران را نيز بايد مدنظر قرار داد.(ميرزايى: 88)</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موضوع ديگر در ارتباط با عدم مداخله ،مرز بين مداخله و جاسوسى است. اين موضوع چنان پيچيده است كه ديوان بين‏المللى‏دادگسترى در رأى 1980 خود در قضيه سفارتخانه ايالات متحده در تهران تشخيص بين جاسوسى و مداخله در امور داخلى را در عمل مشكل دانسته است.(</w:t>
      </w:r>
      <w:r>
        <w:rPr>
          <w:rFonts w:ascii="Arabic Transparent" w:hAnsi="Arabic Transparent" w:cs="Arabic Transparent"/>
        </w:rPr>
        <w:t>I.C.J Rep.1980</w:t>
      </w:r>
      <w:proofErr w:type="gramStart"/>
      <w:r>
        <w:rPr>
          <w:rFonts w:ascii="Arabic Transparent" w:hAnsi="Arabic Transparent" w:cs="Arabic Transparent"/>
        </w:rPr>
        <w:t>,p.39</w:t>
      </w:r>
      <w:proofErr w:type="gramEnd"/>
      <w:r>
        <w:rPr>
          <w:rFonts w:ascii="Arabic Transparent" w:hAnsi="Arabic Transparent" w:cs="Arabic Transparent"/>
          <w:rtl/>
        </w:rPr>
        <w:t>) رعايت مصالح و امنيت دولت پذيرنده و حفظ نظام حقوقى آن يك اصل خدشه‏ناپذير و مقدم بر اصل مصونيت نمايندگان دول است. مطابق رويه قضايى كانادا؛ «هرگاه رفتار ديپلماتها، وضعيت امنيتى دولت پذيرنده را به مخاطره افكند، مصونيت آنان در برابر مصلحت اهم ساقط خواهد شد» (ابوالوفا: 147؛ صدر: 96) اصل حاكميت، محورى‏ترين اصل از حقوق اساسى دولتهاست و چنانچه دولتى با اعطاى مصونيتها محدوديتهايى را بر حاكميت خود مى‏پذيرد، عدم تعارض با عناصر اساسى حاكميت را نيز رعايت خواهد نمود.</w:t>
      </w:r>
    </w:p>
    <w:p w:rsidR="0081689F" w:rsidRDefault="0081689F" w:rsidP="0081689F">
      <w:pPr>
        <w:pStyle w:val="Heading4"/>
        <w:bidi/>
        <w:rPr>
          <w:rFonts w:ascii="Arabic Transparent" w:hAnsi="Arabic Transparent" w:cs="Arabic Transparent"/>
          <w:rtl/>
        </w:rPr>
      </w:pPr>
      <w:r>
        <w:rPr>
          <w:rFonts w:ascii="Arabic Transparent" w:hAnsi="Arabic Transparent" w:cs="Arabic Transparent"/>
          <w:rtl/>
        </w:rPr>
        <w:t>ب - اصل احترام به قوانين و مقررات دولت پذيرنده:</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ديپلماتها به هدف نمايندگى از كشور متبوع خود و حفظ منافع اين كشور و اتباع آن و نيز براى بسط روابط دوستانه و توسعه روابط فرهنگى، علمى و اقتصادى بين دو كشور فرستنده و پذيرنده، به آنجا اعزام مى‏شوند.(ماده 3 كنوانسيون 1961) آنان متعهد به رعايت قوانين و مقررات دولت پذيرنده‏اند.(ماده 41 همان كنوانسيون). ديوان بين‏المللى دادگسترى در قضيه «هايادولاتوره»(1951)تصريح كرده‏است: «بر نماينده سياسى لازم است قوانين دولت پذيرنده را محترم بشمارد».(</w:t>
      </w:r>
      <w:proofErr w:type="spellStart"/>
      <w:r>
        <w:rPr>
          <w:rFonts w:ascii="Arabic Transparent" w:hAnsi="Arabic Transparent" w:cs="Arabic Transparent"/>
        </w:rPr>
        <w:t>Dembinski</w:t>
      </w:r>
      <w:proofErr w:type="spellEnd"/>
      <w:r>
        <w:rPr>
          <w:rFonts w:ascii="Arabic Transparent" w:hAnsi="Arabic Transparent" w:cs="Arabic Transparent"/>
        </w:rPr>
        <w:t xml:space="preserve">: </w:t>
      </w:r>
      <w:proofErr w:type="spellStart"/>
      <w:r>
        <w:rPr>
          <w:rFonts w:ascii="Arabic Transparent" w:hAnsi="Arabic Transparent" w:cs="Arabic Transparent"/>
        </w:rPr>
        <w:t>OP.Cit</w:t>
      </w:r>
      <w:proofErr w:type="spellEnd"/>
      <w:r>
        <w:rPr>
          <w:rFonts w:ascii="Arabic Transparent" w:hAnsi="Arabic Transparent" w:cs="Arabic Transparent"/>
        </w:rPr>
        <w:t xml:space="preserve"> P.157</w:t>
      </w:r>
      <w:r>
        <w:rPr>
          <w:rFonts w:ascii="Arabic Transparent" w:hAnsi="Arabic Transparent" w:cs="Arabic Transparent"/>
          <w:rtl/>
        </w:rPr>
        <w:t xml:space="preserve"> -</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158)</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lastRenderedPageBreak/>
        <w:t>احترام به قوانين و مقررات دولت پذيرنده، لازمه منطقى اعطاى مصونيتهاست و در سايه آن، امنيت و مصالح دولت پذيرنده تأمين مى‏گردد. مصاديق احترام به قوانين و مقررات، متعدد و غير قابل احصاست. ولى مهم‏ترين آنها عبارت‏اند از: احترام به مقررات بهداشت عمومى، دريافت پروانه رانندگى و رعايت مقررات مربوط به آن، عدم استفاده از اماكن مأموريت به نحوى كه مغاير با وظايف باشد، احترام به مقررات مربوط به استفاده از مؤسسات عمومى و وسايل ارتباطى، عدم فعاليتهاى تجارى و حرفه‏اى و غيره. بى‏اعتنايى به مقررات دولت پذيرنده در پناه مصونيت، روشن‏ترين تعريف سوء استفاده از مصونيت است. مصونيت نمايندگان دول در واقع اعطاى اطمينان به آنان است، تا بدون مانع به انجام وظايف خود بپردازند.</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نيك روشن است كه سوء استفاده از مصونيتها نه تنها در تعارض آشكار با اهداف ديپلماتيك قرار مى‏گيرد، بلكه بسا برهم زدن نظم داخلى و بين‏المللى را نيز به همراه داشته باشد. از نخستين پى‏آمدهاى منفى چنين رفتارهايى محدود نمودن مصونيتهاى مقرر خواهد بود. هم اكنون اين بحث در سطح بين‏المللى و با سابقه بيشتر در داخل كشورها مطرح است كه چرا برخى افراد در سطح بين المللى و داخلى در برابر جرايم ارتكابى، مسؤول شناخته نمى‏شوند؟ آيا اين با حقوق بشر جهانى در تعارض نيست؟(</w:t>
      </w:r>
      <w:r>
        <w:rPr>
          <w:rFonts w:ascii="Arabic Transparent" w:hAnsi="Arabic Transparent" w:cs="Arabic Transparent"/>
        </w:rPr>
        <w:t>BEN-ASHER:1</w:t>
      </w:r>
      <w:r>
        <w:rPr>
          <w:rFonts w:ascii="Arabic Transparent" w:hAnsi="Arabic Transparent" w:cs="Arabic Transparent"/>
          <w:rtl/>
        </w:rPr>
        <w:t>) برخى نيز اين وضعيت و سؤال را با بيانى انتقادآميز مطرح نموده و مى‏گويند: مصونيت ديپلماتيك، خيلى چيزها را تحت پوشش قرار مى‏دهد، اما نه عدم پرداخت 400 هزار دلار اجاره بهاى منزلى كه هيئت نمايندگى زئير در محله گران‏قيمت نيويورك اجاره كند و تحت پوشش ديپلماتيك از پرداخت آن سرباز زند. دادگاه، موجر را محق مى‏داند؛ ولى به دليل مصونيت اماكن مأموريت، هر گونه اقدام اجرايى را غير ممكن مى‏داند. هيأت نمايندگى مزبور نيز نه اجاره‏بها مى‏پردازد و نه محل مورد اجاره را تخليه مى‏نمايد. چه كسى مسئول جبران خسارتهاى وارده به موجر است؟ آيا آنگونه كه حقوق بين‏الملل از مصونيت ديپلماتيك حمايت مى‏كند، دولتها نيز همانگونه از شهروندان خود حمايت مى‏كنند؟(</w:t>
      </w:r>
      <w:r>
        <w:rPr>
          <w:rFonts w:ascii="Arabic Transparent" w:hAnsi="Arabic Transparent" w:cs="Arabic Transparent"/>
        </w:rPr>
        <w:t>Goldenberg:1</w:t>
      </w:r>
      <w:r>
        <w:rPr>
          <w:rFonts w:ascii="Arabic Transparent" w:hAnsi="Arabic Transparent" w:cs="Arabic Transparent"/>
          <w:rtl/>
        </w:rPr>
        <w:t>)</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جرايم ارتكابى از سوى دارندگان مصونيت، منحصردر معضل اجاره‏بها نيست. جرايم اين دسته، از تخلفات رانندگى گرفته تا قاچاق دارو، قتل و جرايم جنسى را در بر مى‏گيرد. البته بسيارى از حوادث ديپلماتيك ممكن است از ديد عموم مخفى بماند؛ زيرا انتشار آن، به روابط ديپلماتيك طرفين لطمه خواهد زد!</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در گزارشى از سال 1982 تا1988 ،147 جرم سنگين در واشنگتن توسط ديپلماتها صورت گرفته است كه 30 مورد، مربوط به خود ديپلماتها و 60 مورد از آن وابستگان آنها و 57 مورد، مربوط به ساير اعضاى مأموريت ديپلماتيك بوده است.(</w:t>
      </w:r>
      <w:r>
        <w:rPr>
          <w:rFonts w:ascii="Arabic Transparent" w:hAnsi="Arabic Transparent" w:cs="Arabic Transparent"/>
        </w:rPr>
        <w:t>BEN-ASHER</w:t>
      </w:r>
      <w:proofErr w:type="gramStart"/>
      <w:r>
        <w:rPr>
          <w:rFonts w:ascii="Arabic Transparent" w:hAnsi="Arabic Transparent" w:cs="Arabic Transparent"/>
        </w:rPr>
        <w:t>:OP.cit:9</w:t>
      </w:r>
      <w:proofErr w:type="gramEnd"/>
      <w:r>
        <w:rPr>
          <w:rFonts w:ascii="Arabic Transparent" w:hAnsi="Arabic Transparent" w:cs="Arabic Transparent"/>
          <w:rtl/>
        </w:rPr>
        <w:t>)</w:t>
      </w:r>
    </w:p>
    <w:p w:rsidR="0081689F" w:rsidRDefault="0081689F" w:rsidP="0081689F">
      <w:pPr>
        <w:pStyle w:val="Heading3"/>
        <w:bidi/>
        <w:rPr>
          <w:rFonts w:ascii="Arabic Transparent" w:hAnsi="Arabic Transparent" w:cs="Arabic Transparent"/>
          <w:rtl/>
        </w:rPr>
      </w:pPr>
      <w:r>
        <w:rPr>
          <w:rFonts w:ascii="Arabic Transparent" w:hAnsi="Arabic Transparent" w:cs="Arabic Transparent"/>
          <w:rtl/>
        </w:rPr>
        <w:t>انواع سوء استفاده از مصونيتها:</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هر حقى به منظور بهره‏مندى درست از آن، مورد شناسايى و حمايت قرار مى‏گيرد. طبيعى است چنانچه مورد بهره‏بردارى سوء و نادرست قرار گيرد، نخستين پى‏آمد منفى آن، تقاضا براى محدود ساختن آن خواهد بود و سوء استفاده از مصونيت ديپلماتيك نيز از اين قاعده مستثنا نخواهد بود. در ادامه به برخى از مصاديق سوء استفاده خواهيم پرداخت.</w:t>
      </w:r>
    </w:p>
    <w:p w:rsidR="0081689F" w:rsidRDefault="0081689F" w:rsidP="0081689F">
      <w:pPr>
        <w:pStyle w:val="Heading4"/>
        <w:bidi/>
        <w:rPr>
          <w:rFonts w:ascii="Arabic Transparent" w:hAnsi="Arabic Transparent" w:cs="Arabic Transparent"/>
          <w:rtl/>
        </w:rPr>
      </w:pPr>
      <w:r>
        <w:rPr>
          <w:rFonts w:ascii="Arabic Transparent" w:hAnsi="Arabic Transparent" w:cs="Arabic Transparent"/>
          <w:rtl/>
        </w:rPr>
        <w:t>1- سوء استفاده از اماكن مأموريت:</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اماكن مأموريت؛ يعنى ابنيه يا قسمتهايى از ابنيه و زمين متصل به آن كه براى انجام امور مأموريت از سوى يك دولت و نيز به عنوان محل اقامت رئيس مأموريت، مورد استفاده قرار مى‏گيرد. اين اماكن چه در مالكيت مأموريت باشد يا در اجاره، تفاوتى در وضعيت حقوقى آن نخواهد داشت. مصونيت اماكن مأموريت، در كليه كنوانسيونهاى حقوق ديپلماتيك به نحو يكسان آمده است</w:t>
      </w:r>
      <w:r>
        <w:rPr>
          <w:rFonts w:ascii="Arabic Transparent" w:hAnsi="Arabic Transparent" w:cs="Arabic Transparent"/>
          <w:vertAlign w:val="superscript"/>
          <w:rtl/>
        </w:rPr>
        <w:t>(4)</w:t>
      </w:r>
      <w:r>
        <w:rPr>
          <w:rFonts w:ascii="Arabic Transparent" w:hAnsi="Arabic Transparent" w:cs="Arabic Transparent"/>
          <w:rtl/>
        </w:rPr>
        <w:t xml:space="preserve"> و بالاتر آن كه برابر ماده 23 كنوانسيون 1975، دولت ميزبان موظف است، چنانچه اماكن مأموريت، مورد حمله قرار گيرد مرتكبين را تعقيب و مجازات نمايد.</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 xml:space="preserve">اين بحث كه آيا مصونيت اماكن مأموريت مطلق است يا مقيد؛ محل اختلاف نظر شديد دولتهاى شركت كننده در كنفرانس وين 1961 بود. كنفرانس نيز در نهايت به نتيجه نرسيد و فقط به ذكر دو اصل پيش‏گفته يعنى «احترام به قوانين دولت پذيرنده» و «عدم مداخله در امور داخلى» و نيز توصيه به «عدم استفاده از اماكن مأموريت به نحو مغاير با وظايف </w:t>
      </w:r>
      <w:r>
        <w:rPr>
          <w:rFonts w:ascii="Arabic Transparent" w:hAnsi="Arabic Transparent" w:cs="Arabic Transparent"/>
          <w:rtl/>
        </w:rPr>
        <w:lastRenderedPageBreak/>
        <w:t>مأموريت»</w:t>
      </w:r>
      <w:r>
        <w:rPr>
          <w:rFonts w:ascii="Arabic Transparent" w:hAnsi="Arabic Transparent" w:cs="Arabic Transparent"/>
          <w:vertAlign w:val="superscript"/>
          <w:rtl/>
        </w:rPr>
        <w:t>(5)</w:t>
      </w:r>
      <w:r>
        <w:rPr>
          <w:rFonts w:ascii="Arabic Transparent" w:hAnsi="Arabic Transparent" w:cs="Arabic Transparent"/>
          <w:rtl/>
        </w:rPr>
        <w:t xml:space="preserve"> بسنده كرد.اختلاف نظر از اين جا ناشى مى‏شد كه دولتها تضمينات مناسبى را در صورت سوء استفاده از مصونيت اماكن مأموريت طلب مى‏كردند.</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دليل عمده قائلين به مصونيت مطلق اماكن مأموريت، آن بود كه پذيرش هر گونه استثنا بر مصونيت اماكن، زمينه سوء استفاده دولت پذيرنده را فراهم خواهد كرد. در مقابل، قائلين به تقييد مى‏گفتند: با توجه به آنكه اماكن مأموريت نبايد به گونه‏اى مورد استفاده قرار گيرد كه مغاير با وظايف باشد، بنابراين چنانچه توطئه‏اى عليه امنيت دولت پذيرنده توسط اماكن مأموريت صورت گيرد، اين دولت حق اتخاذ اقدامات لازم را بايد داشته باشد. از نظر منطقى نيز مى‏توان گفت: تعهد دولت پذيرنده به مصونيت اماكن، با تعهد متقابل مسؤولان اماكن مأموريت به رعايت مصالح دولت پذيرنده همراه است و هرگونه كوتاهى از سوى نمايندگى، در نقطه مقابل، نقض تعهد دولت پذيرنده را در پى خواهد داشت و ناعادلانه است اگر مصونيت اماكن مأموريت بتواند تا آنجا پيش رود كه امنيت ملى كشور پذيرنده و ميزبان را تهديد كند. موارد متعددى وجود دارد كه مصونيت اماكن ناديده گرفته شده است و هيچ معيارى نمى‏توان براى اين تعرضات پيدا كرد، مگر آنكه دولت ميزبان به ملاحظه امنيت ملى خود دست به اين اقدام زده است. بنابراين مصونيت اماكن، به معنى نقض و ناديده گرفتن قوانين دولت ميزبان نيست و چنانچه اِعمال در اماكن مأموريت تهديد كننده بوده و به نحو مغاير با وظايف، مورد استفاده قرار گيرد، با وجود اطمينان (نه مجرد شبهه) به رفتار تهديدكننده از سوى اماكن مأموريت، مصونيت آن قابل نقض است.اين اطمينان بايد به گونه‏اى باشد كه دولت فرستنده نتواند عليه آن استدلال كند.</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 xml:space="preserve">در عمل، دولتها همواره مصونيت اماكن را رعايت مى‏كنند و خويشتندارى نشان مى‏دهند. هيچ دولتى حاضر نيست روابط عادى خود را با دولت ديگر تيره نمايد، مگر مصلحت مهم‏ترى در بين باشد. مصونيت اماكن به اين منظور تأمين مى‏گردد كه مأموريت به وظايف خود به نحو آزاد و مستقل اقدام نمايد؛ ولى استفاده از آنها به نحوى كه مغاير با وظايف باشد، نقض غرض بوده و سوء استفاده از مصونيت تلقى مى‏گردد. </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 xml:space="preserve">اقدامات فراوانى ممكن است از سوى اماكن مأموريت صورت گيرد كه فعاليتهاى جاسوسى، مهم‏ترين آن است. در باره مأموران ديپلماتيك شوروى سابق تا آنجا مبالغه كردند كه 70 در صد مأموران اين كشور را جاسوس دانستند. وزير خارجه اتريش در سال 1970 اعلام كرد: وين بزرگ‏ترين پايتخت دنيا از نظر تعداد جاسوسان است. وى اضافه كرد: پنجاه هزار نفر گزارشگر مخفى كه نيمى از آن به غرب و نيمى ديگر به شرق تعلق دارند، در اين شهر زندگى مى‏كنند.اين افراد، در پوشش ديپلماتيك، تحت عناوينى مانند وابسته، منشى، و مشاور، در اماكن مأموريت مشغول به كار مى‏شوند.(الملاح: 375؛ </w:t>
      </w:r>
      <w:proofErr w:type="spellStart"/>
      <w:r>
        <w:rPr>
          <w:rFonts w:ascii="Arabic Transparent" w:hAnsi="Arabic Transparent" w:cs="Arabic Transparent"/>
        </w:rPr>
        <w:t>Rebcca</w:t>
      </w:r>
      <w:proofErr w:type="spellEnd"/>
      <w:r>
        <w:rPr>
          <w:rFonts w:ascii="Arabic Transparent" w:hAnsi="Arabic Transparent" w:cs="Arabic Transparent"/>
        </w:rPr>
        <w:t>: 13</w:t>
      </w:r>
      <w:r>
        <w:rPr>
          <w:rFonts w:ascii="Arabic Transparent" w:hAnsi="Arabic Transparent" w:cs="Arabic Transparent"/>
          <w:rtl/>
        </w:rPr>
        <w:t>) يكى از بارزترين نمونه‏هاى سوء استفاده از اماكن مأموريت و در مقابل ناديده گرفتن مصونيت آن، قضيه تصرف سفارتخانه ايالات متحده امريكا در تهران بود.</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براساس رأى صادره (1980) از ديوان در اين قضيه، دولت ايران تعهدات خود را در مقابل امريكا، كه از بندهاى 1 و2 و 3 ماده 22 كنوانسيون 1961 (مصونيت اماكن) ناشى مى‏شود، نقض كرده است. دولت ايران نيز در جوابيه‏اى به ديوان، موضوع مداخله 25 ساله و مستمر آمريكا را مطرح مى‏نمايد. اما ديوان اين استدلال را نمى‏پذيرد و معتقد است: تصميم مقامهاى ايران مبنى بر ادامه اشغال ساختمان سفارت توسط مبارزان و ادامه بازداشت اعضاى سفارت، نقض صريح و مكرر موازين كنوانسيونهاى وين است، و اگر دولت ايران معتقد است مداخله صورت گرفته است، مى‏توانست از طريق ضمانتهاى خاص حقوق ديپلماتيك، از قبيل اخراج، اعلام عنصر نامطلوب (ماده 9 كنوانسيون 1961) و يا قطع روابط ديپلماتيك، اقدام نمايد.(ميرزايى: 9-88)</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 xml:space="preserve">ولى چه مرجعى از ايران در برابر مداخله امريكا در امور داخلى اين كشور حمايت مى‏كند و يا چه ارتباطى بين آموزش و تأسيس ساواك و وظايف ديپلماتيك وجود دارد مشخص نيست! بعضى از نويسندگان معتقدند: حادثه گروگانگيرى در تهران برخى از مسائل نهفته و دوگانگى معيارهاى حقوق بين‏الملل را برملا كرده است. حقوق بين‏الملل براى آنكه به منزله يك ابزار فعال در كاهش بحران بين‏المللى و اجتناب از درگيريها عمل نمايد، لازم است به همان اندازه كه از دولت فرستنده حمايت به عمل مى‏آورد، از دولت پذيرنده نيز در برابر آنچه كه موجب خلل در امنيت و آسايش كشور و موجب به بازى گرفتن حقوق اساسى و سياسى آن مى‏گردد، حمايت نمايد. اين نويسنده در ادامه مى‏گويد: رسيدن به عدالت از طريق ديوان بين‏المللى دادگسترى، و جلب اعتماد و اطمينان ملل مستضعف كه بسيارى از قواعد حقوق بين‏الملل را جز ابزارى در دست ابرقدرتها براى ذبح آرزوهايشان نمى‏بينند، تلاش مذبوحانه‏اى بيش نخواهد بود. در چنين شرايطى نتيجه آن است كه جمهورى اسلامى ايران محكوم است و درست هم هست؛ زيرا قواعد صريح حقوق بين‏الملل را نقض كرده </w:t>
      </w:r>
      <w:r>
        <w:rPr>
          <w:rFonts w:ascii="Arabic Transparent" w:hAnsi="Arabic Transparent" w:cs="Arabic Transparent"/>
          <w:rtl/>
        </w:rPr>
        <w:lastRenderedPageBreak/>
        <w:t>است و ايالات متحده بر حق است و اين هم نادرست است؛ زيرا در كتب حقوق بين‏الملل آنچه را كه بتوان مطابق آن به صراحت امريكا را محكوم كرد، وجود ندارد.(البكرى: 6-145) برخى از حقوقدانان بين‏الملل بر اين باورند كه ايران در قضيه سفارتخانه امريكا در تهران، به طور كافى و متناسب جلب نظر عمومى نكرده است.(آكهرست: 159) اسناد منتشر شده سفارتخانه آمريكا در تهران، به خوبى گوياى آن است كه چگونه تحت پوشش مصونيتهاى ديپلماتيك، اين مكان به مركز اطلاعات و جاسوسى تبديل شده و اعضاى آن نيز در اعمال تروريستى و آموزش ساواك و شكنجه‏گران نقش داشته‏اند.</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نمونه‏هاى ديگرى نيز از سوء استفاده مصونيت اماكن وجود دارد. از جمله:</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ـ برخى‏كشورها از طريق مأموريتهاى خود با كمكهاى مالى و نظامى (تهيه اسلحه) بطور مستقيم يا به نحو مشاركت در اعمال تروريستى دخالت دارند. نمونه معروف آن كشف اسلحه در سفارت عراق و محل اقامت وابسته نظامى اين كشور در پاكستان است، كه در اختيار مخالفين دولت پاكستان قرار مى‏گرفت. پليس پاكستان، شبانه (11 فوريه 1973) به محل اقامت وابسته مزبور حمله كرد و 30 عدد مسلسل به دست آورد. پس از اين واقعه، وى را به عنوان «عنصر نامطلوب» از كشور اخراج مى‏كنند.(الملاح: 427 و 613)</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همدستى دو ديپلمات روسى در ربودن يك هواپيماى لبنانى و درگيرى با مأموران امنيتى اين كشور در فرودگاه بيروت و مجروح شدن آنان و سپس انتقال به بيمارستان و از بيمارستان به سفارت و انتقال سريع با يك هواپيما به روسيه به دليل برخوردارى از مصونيت، از ديگر نمونه‏هاى سوء استفاده از مصونيت ديپلماتيك است.(ساجدى: 169)</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تيراندازى از داخل سفارت ليبى در لندن به سوى يك زن پليس در سال 1984 كه منجر به كشته شدن پليس شد، نمونه ديگر سوء استفاده از اماكن است.(</w:t>
      </w:r>
      <w:r>
        <w:rPr>
          <w:rFonts w:ascii="Arabic Transparent" w:hAnsi="Arabic Transparent" w:cs="Arabic Transparent"/>
        </w:rPr>
        <w:t>Rebecca: Ibid: 113</w:t>
      </w:r>
      <w:r>
        <w:rPr>
          <w:rFonts w:ascii="Arabic Transparent" w:hAnsi="Arabic Transparent" w:cs="Arabic Transparent"/>
          <w:rtl/>
        </w:rPr>
        <w:t>) اين واقعه سه نوع سوء استفاده را با خود همراه دارد: سوء استفاده از اماكن مأموريت، سوء استفاده ازكيسه ديپلماتيك، سوء استفاده از وضعيت ديپلماتيك (كه بر اساس كنوانسيون 1961 وين در هر سه وضعيت مصونيت مطلق وجود دارد). تيراندازى از درون سفارت با اسلحه صورت گرفت و اين سلاح نيز از طريق كيسه ديپلماتيك و بدون بازرسى وارد انگلستان گرديد.</w:t>
      </w:r>
      <w:r>
        <w:rPr>
          <w:rFonts w:ascii="Arabic Transparent" w:hAnsi="Arabic Transparent" w:cs="Arabic Transparent"/>
          <w:vertAlign w:val="superscript"/>
          <w:rtl/>
        </w:rPr>
        <w:t>(6)</w:t>
      </w:r>
      <w:r>
        <w:rPr>
          <w:rFonts w:ascii="Arabic Transparent" w:hAnsi="Arabic Transparent" w:cs="Arabic Transparent"/>
          <w:rtl/>
        </w:rPr>
        <w:t xml:space="preserve"> وضعيت ديپلماتيك نيز در اين بين نقش مهمى ايفا كرد و مجرم با استفاده از وضعيت ديپلماتيك از كشور خارج شد.(</w:t>
      </w:r>
      <w:r>
        <w:rPr>
          <w:rFonts w:ascii="Arabic Transparent" w:hAnsi="Arabic Transparent" w:cs="Arabic Transparent"/>
        </w:rPr>
        <w:t>BEN.ASHER: OP.cit:9</w:t>
      </w:r>
      <w:r>
        <w:rPr>
          <w:rFonts w:ascii="Arabic Transparent" w:hAnsi="Arabic Transparent" w:cs="Arabic Transparent"/>
          <w:rtl/>
        </w:rPr>
        <w:t>)</w:t>
      </w:r>
    </w:p>
    <w:p w:rsidR="0081689F" w:rsidRDefault="0081689F" w:rsidP="0081689F">
      <w:pPr>
        <w:pStyle w:val="Heading4"/>
        <w:bidi/>
        <w:rPr>
          <w:rFonts w:ascii="Arabic Transparent" w:hAnsi="Arabic Transparent" w:cs="Arabic Transparent"/>
          <w:rtl/>
        </w:rPr>
      </w:pPr>
      <w:r>
        <w:rPr>
          <w:rFonts w:ascii="Arabic Transparent" w:hAnsi="Arabic Transparent" w:cs="Arabic Transparent"/>
          <w:rtl/>
        </w:rPr>
        <w:t>2- سوء استفاده از مصونيت محل اقامت:</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محل اقامت خصوصى و مسكن رؤساى مأموريت و هيأت نمايندگى و كارمندان آن، از همان مصونيت و حمايت اماكن مأموريت برخوردار است.(ماده 30 كنوانسيون 1961 و ماده 29 كنوانسيون 1975)</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مصونيت مسكن و اموال متعلق به آن را بايد از توابع مصونيت شخصى دانست؛ ولى به دليل آنكه مصونيت مسكن از وضعيتى مشابه اماكن مأموريت برخوردار است و معمولاً مسكن رئيس مأموريت در مقر رسمى مأموريت جاى دارد، ضمن بحث اماكن مأموريت، از آن بحث مى‏شود. در واقع مصونيت محل اقامت،ادامه مصونيت شخصى است؛ زيرا استقلال سفير و اطمينان او با عدم مصونيت منزل وى مختل مى‏گردد. در آنصورت قادر نخواهد بود وظايف مهمى را كه بر عهده دارد انجام دهد.</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به هر روى چنانچه دارندگان مصونيت، از مسكن خصوصى خود به نحوى كه مغاير با وظايف آنان است، استفاده نمايند، لازم است از دولت پذيرنده در برابر اين سوء استفاده حمايت به عمل آيد؛ چرا كه بديهى است مصونيت مسكن به معنى نقض و ناديده گرفتن مقررات دولت پذيرنده نمى‏باشد.</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 xml:space="preserve">از قضاياى مربوط به اين مورد يكى جمع‏آورى سلاح در منزل وابسته نظامى عراق در پاكستان بود كه پيشتر اشاره شد. همچنين در سال 1972 نيروهاى دولت زئير متوجه شدند كه وابسته سنگال در كينشازا اقدام به قاچاق الماس در منزل خود نموده است. پليس با حمله به منزل او بيش از 800 قطعه الماس به دست مى‏آورد. متعاقب آن وى به عنوان عنصر نامطلوب از كشور اخراج گرديد. از قبيل اين سوء استفاده‏ها موجب شده است در مورد مصونيت مسكن ترديد حاصل شود. به نظر مى‏رسد اين ايده كه مصونيت مسكن، به نفع امنيت كشور پذيرنده مصونيت، نسبى بوده و بايد تا آنجا كه </w:t>
      </w:r>
      <w:r>
        <w:rPr>
          <w:rFonts w:ascii="Arabic Transparent" w:hAnsi="Arabic Transparent" w:cs="Arabic Transparent"/>
          <w:rtl/>
        </w:rPr>
        <w:lastRenderedPageBreak/>
        <w:t>استقلال و اطمينان مأمور را در جهت انجام وظايف تأمين نمايد، برقرار گردد، ايده‏اى است كه منافع دولتهاى فرستنده و پذيرنده را تامين نموده، و در برابر سوء استفاده، از دولت پذيرنده، حمايت به عمل مى‏آورد. ولى چنانچه مصونيت مطلق را بپذيريم، همچنان بايد شاهد سوء استفاده از منازل و مساكن در جهت قاچاق و ناديده گرفتن ملاحظات امنيتى كشور پذيرنده باشيم.(الملاح: 7-425)</w:t>
      </w:r>
    </w:p>
    <w:p w:rsidR="0081689F" w:rsidRDefault="0081689F" w:rsidP="0081689F">
      <w:pPr>
        <w:pStyle w:val="Heading4"/>
        <w:bidi/>
        <w:rPr>
          <w:rFonts w:ascii="Arabic Transparent" w:hAnsi="Arabic Transparent" w:cs="Arabic Transparent"/>
          <w:rtl/>
        </w:rPr>
      </w:pPr>
      <w:r>
        <w:rPr>
          <w:rFonts w:ascii="Arabic Transparent" w:hAnsi="Arabic Transparent" w:cs="Arabic Transparent"/>
          <w:rtl/>
        </w:rPr>
        <w:t xml:space="preserve">3-اعطاى پناهندگى در اماكن ديپلماتيك: </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پناهندگى در حقوق ديپلماتيك خود مى‏تواند موضوع مستقل و گسترده‏اى باشد. بدور از هر گونه مباحث مربوط به پناهندگى، فقط به اين مطلب اشاره مى‏شود كه مقاومت در برابر پناهندگى به اماكن مأموريت، به ملاحظه امنيت ملى كشورهاست.(صدر: 2-91</w:t>
      </w:r>
      <w:proofErr w:type="spellStart"/>
      <w:r>
        <w:rPr>
          <w:rFonts w:ascii="Arabic Transparent" w:hAnsi="Arabic Transparent" w:cs="Arabic Transparent"/>
        </w:rPr>
        <w:t>Dembinski</w:t>
      </w:r>
      <w:proofErr w:type="spellEnd"/>
      <w:r>
        <w:rPr>
          <w:rFonts w:ascii="Arabic Transparent" w:hAnsi="Arabic Transparent" w:cs="Arabic Transparent"/>
          <w:rtl/>
        </w:rPr>
        <w:t xml:space="preserve">: </w:t>
      </w:r>
      <w:r>
        <w:rPr>
          <w:rFonts w:ascii="Arabic Transparent" w:hAnsi="Arabic Transparent" w:cs="Arabic Transparent"/>
        </w:rPr>
        <w:t>OP.cit, PP 247-257</w:t>
      </w:r>
      <w:r>
        <w:rPr>
          <w:rFonts w:ascii="Arabic Transparent" w:hAnsi="Arabic Transparent" w:cs="Arabic Transparent"/>
          <w:rtl/>
        </w:rPr>
        <w:t xml:space="preserve"> ) كنوانسيونهاى 1961 و 1975 در اين باره ساكت‏اند. بلكه مى‏توان گفت: حقوق ديپلماتيك مدون، پناهندگى ديپلماتيك را به رسميت نشناخته و چنانچه در اماكن مأموريت، اعطاى پناهندگى صورت گيرد، سوء استفاده از مصونيت اماكن تلقى مى‏گردد.(</w:t>
      </w:r>
      <w:proofErr w:type="spellStart"/>
      <w:proofErr w:type="gramStart"/>
      <w:r>
        <w:rPr>
          <w:rFonts w:ascii="Arabic Transparent" w:hAnsi="Arabic Transparent" w:cs="Arabic Transparent"/>
        </w:rPr>
        <w:t>Brownlic</w:t>
      </w:r>
      <w:proofErr w:type="spellEnd"/>
      <w:r>
        <w:rPr>
          <w:rFonts w:ascii="Arabic Transparent" w:hAnsi="Arabic Transparent" w:cs="Arabic Transparent"/>
        </w:rPr>
        <w:t xml:space="preserve">: OP. cit, P. 354; </w:t>
      </w:r>
      <w:proofErr w:type="spellStart"/>
      <w:r>
        <w:rPr>
          <w:rFonts w:ascii="Arabic Transparent" w:hAnsi="Arabic Transparent" w:cs="Arabic Transparent"/>
        </w:rPr>
        <w:t>Dembinski</w:t>
      </w:r>
      <w:proofErr w:type="spellEnd"/>
      <w:r>
        <w:rPr>
          <w:rFonts w:ascii="Arabic Transparent" w:hAnsi="Arabic Transparent" w:cs="Arabic Transparent"/>
        </w:rPr>
        <w:t>: OP.cit, P.257</w:t>
      </w:r>
      <w:r>
        <w:rPr>
          <w:rFonts w:ascii="Arabic Transparent" w:hAnsi="Arabic Transparent" w:cs="Arabic Transparent"/>
          <w:rtl/>
        </w:rPr>
        <w:t>) هر چند اين حق در امريكاى لاتين به صورت منطقه‏اى شناخته شده است، ولى به عنوان يك قاعده حقوق بين‏الملل پذيرفته نيست.</w:t>
      </w:r>
      <w:proofErr w:type="gramEnd"/>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ديوان در قضيه «هايادولاتوره» مى‏گويد: «اعطاى پناهندگى، دخالت در امور كشور پذيرنده است؛ زيرا مأموران قضايى را از رسيدگى به جرم باز داشته و مداخله آشكار در امور داخلى كشور پذيرنده به شمار مى‏آيد.»(</w:t>
      </w:r>
      <w:r>
        <w:rPr>
          <w:rFonts w:ascii="Arabic Transparent" w:hAnsi="Arabic Transparent" w:cs="Arabic Transparent"/>
        </w:rPr>
        <w:t xml:space="preserve">I.C.J. </w:t>
      </w:r>
      <w:proofErr w:type="spellStart"/>
      <w:r>
        <w:rPr>
          <w:rFonts w:ascii="Arabic Transparent" w:hAnsi="Arabic Transparent" w:cs="Arabic Transparent"/>
        </w:rPr>
        <w:t>ReP</w:t>
      </w:r>
      <w:proofErr w:type="spellEnd"/>
      <w:r>
        <w:rPr>
          <w:rFonts w:ascii="Arabic Transparent" w:hAnsi="Arabic Transparent" w:cs="Arabic Transparent"/>
        </w:rPr>
        <w:t>, 1950, P.274</w:t>
      </w:r>
      <w:r>
        <w:rPr>
          <w:rFonts w:ascii="Arabic Transparent" w:hAnsi="Arabic Transparent" w:cs="Arabic Transparent"/>
          <w:rtl/>
        </w:rPr>
        <w:t>)</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پناهندگى به اماكن مأموريت يكى از پيامدهاى تئورى برون‏مرزى است و اين تئورى در توسعه آن نقش مؤثرى دارد؛ ولى با قبول تئورى طرح «مصلحت وظيفه» نمى‏توان پناهندگى را در زمره وظايف نمايندگان دول، نزد ديگر دول يا سازمان بين‏المللى دانست. بنابراين هيچ حقى براى مأموريتها در اعطاى پناهندگى وجود ندارد.</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مقاومت كشورها در برابر موضوع پناهندگى و عدم توافق بر يك معاهده بين‏المللى دراين باره را مى‏توان ناشى از اختلاف كشورها و تفاوت ديدگاههاى آنان در اين مسأله دانست كه حاكى از ملاحظات داخلى و امنيتى و به هدف جلوگيرى از سوء استفاده‏هاى دولتهاى فرستنده است.</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از قضاياى چند سال اخير، پناهندگى ژنرال «ميشل عون» و هواداران او به سفارتخانه فرانسه در بيروت به سال 1990 است. با پايان گرفتن جنگ داخلى 15 ساله در لبنان، ژنرال مذكور به سفارتخانه فرانسه پناه برد و سپس به فرانسه منتقل گرديد.(ابوالوفا: 176)</w:t>
      </w:r>
    </w:p>
    <w:p w:rsidR="0081689F" w:rsidRDefault="0081689F" w:rsidP="0081689F">
      <w:pPr>
        <w:pStyle w:val="Heading4"/>
        <w:bidi/>
        <w:rPr>
          <w:rFonts w:ascii="Arabic Transparent" w:hAnsi="Arabic Transparent" w:cs="Arabic Transparent"/>
          <w:rtl/>
        </w:rPr>
      </w:pPr>
      <w:r>
        <w:rPr>
          <w:rFonts w:ascii="Arabic Transparent" w:hAnsi="Arabic Transparent" w:cs="Arabic Transparent"/>
          <w:rtl/>
        </w:rPr>
        <w:t xml:space="preserve">4- سوء استفاده از مصونيت شخصى: </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از نقطه نظر تاريخى، مصونيت شخصى را نخستين قاعده حقوق بين‏الملل دانسته‏اند.(</w:t>
      </w:r>
      <w:proofErr w:type="spellStart"/>
      <w:r>
        <w:rPr>
          <w:rFonts w:ascii="Arabic Transparent" w:hAnsi="Arabic Transparent" w:cs="Arabic Transparent"/>
        </w:rPr>
        <w:t>Nascimento</w:t>
      </w:r>
      <w:proofErr w:type="spellEnd"/>
      <w:r>
        <w:rPr>
          <w:rFonts w:ascii="Arabic Transparent" w:hAnsi="Arabic Transparent" w:cs="Arabic Transparent"/>
        </w:rPr>
        <w:t>: 82</w:t>
      </w:r>
      <w:r>
        <w:rPr>
          <w:rFonts w:ascii="Arabic Transparent" w:hAnsi="Arabic Transparent" w:cs="Arabic Transparent"/>
          <w:rtl/>
        </w:rPr>
        <w:t>) هر چند تعريف مورد اتفاق در مورد مصونيت شخصى وجود ندارد، امّا نتايج اين مصونيت يعنى عدم توقيف و بازداشت و ممانعت از هرگونه اقدام عليه مأمور سياسى، مورد اتفاق است</w:t>
      </w:r>
      <w:proofErr w:type="gramStart"/>
      <w:r>
        <w:rPr>
          <w:rFonts w:ascii="Arabic Transparent" w:hAnsi="Arabic Transparent" w:cs="Arabic Transparent"/>
          <w:rtl/>
        </w:rPr>
        <w:t>.</w:t>
      </w:r>
      <w:r>
        <w:rPr>
          <w:rFonts w:ascii="Arabic Transparent" w:hAnsi="Arabic Transparent" w:cs="Arabic Transparent"/>
          <w:vertAlign w:val="superscript"/>
          <w:rtl/>
        </w:rPr>
        <w:t>(</w:t>
      </w:r>
      <w:proofErr w:type="gramEnd"/>
      <w:r>
        <w:rPr>
          <w:rFonts w:ascii="Arabic Transparent" w:hAnsi="Arabic Transparent" w:cs="Arabic Transparent"/>
          <w:vertAlign w:val="superscript"/>
          <w:rtl/>
        </w:rPr>
        <w:t>7)</w:t>
      </w:r>
      <w:r>
        <w:rPr>
          <w:rFonts w:ascii="Arabic Transparent" w:hAnsi="Arabic Transparent" w:cs="Arabic Transparent"/>
          <w:rtl/>
        </w:rPr>
        <w:t xml:space="preserve"> از طرفى ديوان بين‏المللى دادگسترى، در قضيه كاركنان ديپلماتيك و كنسولى ايالات متحده در تهران مى‏گويد: مصونيت اعضاى مأموريت و كاركنان آن بدين معنى نخواهد بود كه راه ارتكاب جرم يا تعدى براى مأمور سياسى باز باشد و توقيف او براى جلوگيرى از ارتكاب جرم در مدت كوتاه ممكن نباشد.(</w:t>
      </w:r>
      <w:r>
        <w:rPr>
          <w:rFonts w:ascii="Arabic Transparent" w:hAnsi="Arabic Transparent" w:cs="Arabic Transparent"/>
        </w:rPr>
        <w:t>I.c.j.Rep.1980.p.3</w:t>
      </w:r>
      <w:r>
        <w:rPr>
          <w:rFonts w:ascii="Arabic Transparent" w:hAnsi="Arabic Transparent" w:cs="Arabic Transparent"/>
          <w:rtl/>
        </w:rPr>
        <w:t>)</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در رويه قضايى ايالات متحده امريكا و كانادا چنانچه ديپلماتها مرتكب اعمالى گردند كه وضعيت امنيتى دولت ميزبان را به مخاطره اندازد، مصونيت آنان به ملاحظه مصلحت اهم ساقط خواهد شد. وزارت خارجه امريكا نيز اعلام مى‏كند: اين نكته در مورد مصونيت شخصى بايد تفهيم شود كه دولت ميزبان از حق خود در حمايت از امنيت و رفاه ملت خود نخواهد گذشت و پليس به ميزان لازم براى جلوگيرى از جرم، مداخله خواهد كرد.(</w:t>
      </w:r>
      <w:proofErr w:type="spellStart"/>
      <w:r>
        <w:rPr>
          <w:rFonts w:ascii="Arabic Transparent" w:hAnsi="Arabic Transparent" w:cs="Arabic Transparent"/>
        </w:rPr>
        <w:t>Unjy</w:t>
      </w:r>
      <w:proofErr w:type="spellEnd"/>
      <w:r>
        <w:rPr>
          <w:rFonts w:ascii="Arabic Transparent" w:hAnsi="Arabic Transparent" w:cs="Arabic Transparent"/>
        </w:rPr>
        <w:t>: 1979, P.209</w:t>
      </w:r>
      <w:r>
        <w:rPr>
          <w:rFonts w:ascii="Arabic Transparent" w:hAnsi="Arabic Transparent" w:cs="Arabic Transparent"/>
          <w:rtl/>
        </w:rPr>
        <w:t>)</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lastRenderedPageBreak/>
        <w:t>هدف از اعطاى مصونيت، منفعت شخصى افراد نبوده، بلكه به منظور تسهيل در انجام وظايف برقرار مى‏گردد. بنابراين چنانچه نمايندگان دول، قوانين دولت ميزبان را كه مكلف به رعايت آن هستند، مراعات ننمايند در آنصورت دولت پذيرنده حق دارد از امنيت خود دفاع نمايد و هر گونه تعرض عليه مأمور خاطى، نتيجه منطقى رفتار خود او خواهد بود. موضوع در جرم مشهود، آسان‏تراست و چنانچه مأمور سياسى در حال ارتكاب جرم باشد، طبيعى است كه حق و وظيفه پليس دولت ميزبان است كه از ارتكاب آن جلوگيرى نمايد و نمى‏تواند دست‏بسته، نظاره گر باشد.</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اُپنهايم مى‏گويد: «هرگاه مأمور سياسى به اقداماتى مبادرت ورزد كه امنيت داخلى دولت ميزبان (پذيرنده) را به مخاطره اندازد يا در توطئه عليه آن شركت نمايد، حق بازداشت و مراقبت و نگهبانى از او تا خروج از كشور وجود دارد.»(</w:t>
      </w:r>
      <w:proofErr w:type="spellStart"/>
      <w:r>
        <w:rPr>
          <w:rFonts w:ascii="Arabic Transparent" w:hAnsi="Arabic Transparent" w:cs="Arabic Transparent"/>
        </w:rPr>
        <w:t>Oppenheim</w:t>
      </w:r>
      <w:proofErr w:type="gramStart"/>
      <w:r>
        <w:rPr>
          <w:rFonts w:ascii="Arabic Transparent" w:hAnsi="Arabic Transparent" w:cs="Arabic Transparent"/>
        </w:rPr>
        <w:t>:OP.Cit</w:t>
      </w:r>
      <w:proofErr w:type="spellEnd"/>
      <w:proofErr w:type="gramEnd"/>
      <w:r>
        <w:rPr>
          <w:rFonts w:ascii="Arabic Transparent" w:hAnsi="Arabic Transparent" w:cs="Arabic Transparent"/>
          <w:rtl/>
        </w:rPr>
        <w:t xml:space="preserve"> </w:t>
      </w:r>
      <w:r>
        <w:rPr>
          <w:rFonts w:ascii="Arabic Transparent" w:hAnsi="Arabic Transparent" w:cs="Arabic Transparent"/>
        </w:rPr>
        <w:t>P.791</w:t>
      </w:r>
      <w:r>
        <w:rPr>
          <w:rFonts w:ascii="Arabic Transparent" w:hAnsi="Arabic Transparent" w:cs="Arabic Transparent"/>
          <w:rtl/>
        </w:rPr>
        <w:t>.) بنابراين در موارد امنيتى و جرم مشهود، مصونيت شخصى وجود ندارد و توقيف يا بازداشت به انتظار احضار و فراخوانى نماينده خاطى از سوى دولت فرستنده در يك مدت معقول و يا انصراف از مصونيت وى جايز است.</w:t>
      </w:r>
    </w:p>
    <w:p w:rsidR="0081689F" w:rsidRDefault="0081689F" w:rsidP="0081689F">
      <w:pPr>
        <w:pStyle w:val="Heading4"/>
        <w:bidi/>
        <w:rPr>
          <w:rFonts w:ascii="Arabic Transparent" w:hAnsi="Arabic Transparent" w:cs="Arabic Transparent"/>
          <w:rtl/>
        </w:rPr>
      </w:pPr>
      <w:r>
        <w:rPr>
          <w:rFonts w:ascii="Arabic Transparent" w:hAnsi="Arabic Transparent" w:cs="Arabic Transparent"/>
          <w:rtl/>
        </w:rPr>
        <w:t xml:space="preserve">5- سوء استفاده از كيسه ديپلماتيك: </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در تأمين ارتباط دولتها با نمايندگيهاى خود در خارج از كشور، امروزه استفاده از كيسه ديپلماتيك، حايز اهميت فراوانى است. آخرين سند حقوق ديپلماتيك (كنوانسيون 1989) در پاسخ به اين اهميت تدوين شده و قواعد حقوقى كيسه و پيك را در ساير كنوانسيونها تكميل نموده است. ولى از آنجا كه اين كنوانسيون در مرحله طرح است، بنابراين قواعد مربوط به كيسه را بايد در ساير كنوانسيونها جستجو كرد.</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مهم‏ترين مسائل در خصوص كيسه و يا چمدان ديپلماتيك، سوء استفاده از آنها و معضل بازرسى كيسه است. چنانچه مقامات دولت پذيرنده و ميزبان به آنچه در درون كيسه قرار دارد مشكوك شوند و احتمال دهند كيسه حاوى اشياء ممنوعه نظير قاچاق يا اسلحه است، آيا مى‏توانند آن را بازرسى و تفتيش كنند؟</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با ملاحظه عملكرد بين‏المللى مى‏توان شاهد سوء استفاده‏هاى فراوانى از كيسه‏هاى ديپلماتيك بود. كشورهاى ثروتمند، از مصونيت كيسه براى جاسازى سلاح، بمبهاى دستى، اسلحه‏هاى گرم، مواد شيمايى خطرناك، خروج اطلاعات، سرقت آثار باستانى و... سوء استفاده مى‏كنند. در مقابل كشورهاى فقير نيز بطور عمده به قاچاق مواد الكلى، ارز و مواد مخدر اقدام مى‏نمايند. خلاصه از انسان زنده تا جسد مرده در كيسه‏هاى ديپلماتيك يافت شده است. بطور مسلم اينگونه سوء استفاده‏ها براى دولت پذيرنده مخاطره‏آميز بوده و با رشد فعاليتهاى تروريستى و خرابكارى نمى‏توان به راحتى تسليم مصونيت كيسه‏هاى ديپلماتيك شد. به عنوان نمونه:</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ـ در گمرك فرانسه وقتى پيك سوئيسى از حمل كيسه كوچك اظهار ناتوانى مى‏كرد، موجبات شك وترديد را نسبت به محتوى كيسه فراهم كرد. وقتى فرانسويان كيسه را گشودند در آن تعداد 2000 ساعت گران قيمت سوئيسى يافتند.</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ـ در جريان ربودن وزراى نفت سازمان كشورهاى صادر كننده نفت (اوپك) در يكى از كنفرانسهاى وين (1980 - 1979) يكى از فلسطينيان شركت‏كننده در عمليات، اعتراف نمود كه مسلسل و نارنجك دستى را از طريق يكى از ديپلماتهايى كه با آنان احساس همدردى مى‏كرده، به وين منتقل نموده است.</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ـ يكى ديگراز مشهورترين سوء استفاده‏ها از مصونيت كيسه‏هاى ديپلماتيك، قرار دادن جسد مخالف سياسى نيجريه در كيسه ديپلماتيك بود كه در1984 در فرودگاه لندن از بوى نامطبوع آن كشف گرديد.(</w:t>
      </w:r>
      <w:r>
        <w:rPr>
          <w:rFonts w:ascii="Arabic Transparent" w:hAnsi="Arabic Transparent" w:cs="Arabic Transparent"/>
        </w:rPr>
        <w:t xml:space="preserve">B, </w:t>
      </w:r>
      <w:proofErr w:type="spellStart"/>
      <w:r>
        <w:rPr>
          <w:rFonts w:ascii="Arabic Transparent" w:hAnsi="Arabic Transparent" w:cs="Arabic Transparent"/>
        </w:rPr>
        <w:t>Sen</w:t>
      </w:r>
      <w:proofErr w:type="spellEnd"/>
      <w:r>
        <w:rPr>
          <w:rFonts w:ascii="Arabic Transparent" w:hAnsi="Arabic Transparent" w:cs="Arabic Transparent"/>
        </w:rPr>
        <w:t>: 133</w:t>
      </w:r>
      <w:r>
        <w:rPr>
          <w:rFonts w:ascii="Arabic Transparent" w:hAnsi="Arabic Transparent" w:cs="Arabic Transparent"/>
          <w:rtl/>
        </w:rPr>
        <w:t>)</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اينها نمونه‏هاى اندك سوء استفاده از كيسه است.</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مسأله بازرسى كيسه را بايد از طريق رابطه بين بندهاى 3 و 4 ماده 27 كنوانسيونهاى 1961 و 1975 جستجوكرد. بند 3 مى‏گويد: «كيسه‏هاى حاوى پست مأموريت نبايد باز شده يا توقيف گردد» و بند 4 مى‏گويد: «بسته‏هاى محتوى كيسه بايد داراى علامات خارجى مشهود و مشخص كيفيت آن باشد و فقط حاوى اسناد يا اشياء مورد استفاده رسمى مأموريت باشد.»</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lastRenderedPageBreak/>
        <w:t>بسيارى از كشورها، در مورد بند 3 حق شرط قائل شدند: بحرين گفته است؛ با وجود دلايل جدّى بر اينكه كيسه، حاوى اشياء ممنوعه است، باز كردن آن قانونى است. و ليبى بر اساس رفتار متقابل، اين بند را مى‏پذيرد. دولتين سعودى و يمن در مورد بند 4 مى‏گويند: حق باز كردن بسته با حضور نماينده‏اى از مأموريت، قانونى است و الاّ بسته را به مبدأ باز مى‏گردانند.(</w:t>
      </w:r>
      <w:r>
        <w:rPr>
          <w:rFonts w:ascii="Arabic Transparent" w:hAnsi="Arabic Transparent" w:cs="Arabic Transparent"/>
        </w:rPr>
        <w:t>Ibid</w:t>
      </w:r>
      <w:r>
        <w:rPr>
          <w:rFonts w:ascii="Arabic Transparent" w:hAnsi="Arabic Transparent" w:cs="Arabic Transparent"/>
          <w:rtl/>
        </w:rPr>
        <w:t>)</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به منظور جمع بين حق دولت فرستنده و پذيرنده پيشنهاداتى مطرح گرديد؛ پيشنهاد فرانسه آن بود كه هر گاه دلايل مبنى بر سوء استفاده از كيسه وجود دارد، در آن صورت كيسه به صلاحديد وزيرخارجه كشور ميزبان و حضور نماينده‏اى از مأموريت باز شود. ولى امريكا پيشنهاد كرد در چنين شرايطى با اذن وزير خارجه دولت پذيرنده و مأموريت كيسه بازرسى شود و هر گاه مأموريت اجازه ندهد، كيسه عودت داده مى‏شود. (ابوالوفا: 192، الملاح: 497)</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بديهى است عدم رضايت دولت فرستنده به باز شدن كيسه حاكى از دو مطلب است؛ يا كيسه مشتمل بر اشياء ممنوعه‏اى است كه مورد استفاده رسمى نبوده و در نتيجه ادعاى دولت ميزبان ثابت مى‏گردد و يا مشتمل برامور سرّى است كه دولت فرستنده تمايلى به اطلاع يافتن دولت ميزبان ندارد. على رغم اين پيشنهادات، كنوانسيونها به ممنوعيت باز كردن كيسه تصريح مى‏كنند.</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موضوع ديگر در اين خصوص، بازرسى الكترونيكى از طريق اشعه و يا كنترل از راه دور است كه در آن صورت شايد نياز به باز كردن كيسه نباشد. در اين مورد برخى معتقدند: از آنجا كه اين دستگاهها دقيقا محتوى كيسه را نشان نمى‏دهد، بازرسى الكترونيكى جايز است. (صدر: ص 95، الشامى: 500) اما بر خلاف اين نظر اكنون دستگاههاى پيشرفته حتى متون و نامه‏ها را به راحتى مى‏خوانند و بر اساس كنوانسيون 1989 بازرسى الكترونيكى نيز ممنوع است. (ماده 28 بند 1 كنوانسيون 1989)</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موضوع ديگر در اين ارتباط استفاده از حيوانات براى كشف مواد مخدر از كيسه ديپلماتيك است. آيا چنين بازرسيهايى مخالف ماده 27 كنوانسيون 1961 و تعرض به مصونيت ارتباطات نخواهد بود؟ ديدگاه كشورها متفاوت است. انگليس، سوئيس و هلند استفاده از تجهيزات الكترونيكى را با حضور يكى از نمايندگان دولت فرستنده و وجود دلايل قانع‏كننده براى بازرسى و در صورت عدم كشف محتويات آن و به شرطى كه اين كار يك رويه عمومى و هميشگى نگردد، اجازه مى‏دهند.كشورهاى شمال اروپا(دانمارك،نروژ و سوئد) عمليات بازرسى غيرمستقيم الكترونيكى و استفاده از حيوانات را مجاز مى‏دانند. در اين بين فرانسه مى‏گويد؛ بازرسى غير مستقيم كيسه، منجر به گشودن يا عودت آن خواهد شد كه در هر دو صورت با ماده 27 معارض است. دولتين انگليس و فرانسه بازرسى الكترونيكى كيسه را جايز نمى‏دانند.(ابوالوفا: 193)</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هر چند بر اساس اصل آزادى ارتباطات و مبناى مصلحت وظيفه، هر گونه تفتيش و بازرسى مستقيم يا غير مستقيم توسط دستگاههاى الكترونيكى يا حيوانات ممنوع است؛ اما سوء استفاده گسترده از كيسه‏ها با انگيزه‏هاى متفاوت و اختلاف مراتب كشورها از نظر سطح تكنولوژى، ايدئولوژيها و ميزان پاى بندى به مقررات بين المللى ، راه حل جديدى مى‏طلبد.</w:t>
      </w:r>
    </w:p>
    <w:p w:rsidR="0081689F" w:rsidRDefault="0081689F" w:rsidP="0081689F">
      <w:pPr>
        <w:pStyle w:val="Heading4"/>
        <w:bidi/>
        <w:rPr>
          <w:rFonts w:ascii="Arabic Transparent" w:hAnsi="Arabic Transparent" w:cs="Arabic Transparent"/>
          <w:rtl/>
        </w:rPr>
      </w:pPr>
      <w:r>
        <w:rPr>
          <w:rFonts w:ascii="Arabic Transparent" w:hAnsi="Arabic Transparent" w:cs="Arabic Transparent"/>
          <w:rtl/>
        </w:rPr>
        <w:t>6- سوء استفاده از توشه شخصى:</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دولتها حق وضع مقررات مربوط به ورود و خروج اشيا را خواهند داشت. بنابراين براى ورود و خروج اشياء ممنوعه مانند مواد مخدر، اشيا و آثار باستانى، گياهان و مواد نباتى آلوده ، حيواناتى كه نياز به قرنطينه دارند، مشروبات الكلى كه در برخى كشورهاى اسلامى ممنوع است، نوارهاى مستهجن ويدئويى و ديگر موارد مشابه مى‏توان محدوديتهايى در نظر گرفت و از ورود آن جلوگيرى نمود.</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بنابراين چنانچه در توشه شخصى اعضاى مأموريت، دلايل جدى وجود داشته باشد كه حاوى اشياء خارج از استفاده مأموريت و يا خارج از استفاده شخصى است و يا ورود و خروج آن طبق قوانين و مقررات قرنطينه دولت پذيرنده ممنوع است، با حضور شخص دارنده مصونيت و يا نماينده او بازرسى صورت خواهد گرفت.</w:t>
      </w:r>
      <w:r>
        <w:rPr>
          <w:rFonts w:ascii="Arabic Transparent" w:hAnsi="Arabic Transparent" w:cs="Arabic Transparent"/>
          <w:vertAlign w:val="superscript"/>
          <w:rtl/>
        </w:rPr>
        <w:t>(8)</w:t>
      </w:r>
    </w:p>
    <w:p w:rsidR="0081689F" w:rsidRDefault="0081689F" w:rsidP="0081689F">
      <w:pPr>
        <w:bidi/>
        <w:rPr>
          <w:rFonts w:ascii="Arabic Transparent" w:hAnsi="Arabic Transparent" w:cs="Arabic Transparent"/>
          <w:rtl/>
        </w:rPr>
      </w:pPr>
      <w:r>
        <w:rPr>
          <w:rFonts w:ascii="Arabic Transparent" w:hAnsi="Arabic Transparent" w:cs="Arabic Transparent"/>
          <w:rtl/>
        </w:rPr>
        <w:lastRenderedPageBreak/>
        <w:t xml:space="preserve">بازرسى توشه شخصى، با بازرسى كيسه ديپلماتيك كه پيشتر مورد بحث قرار گرفت، از اين جهت متفاوت است كه كيسه، متعلق به مأموريت است و بازرسى و گشودن آن بدون موافقت مأموريت جايز نيست، ولى باز كردن توشه شخصى با وجود دلايل جدى مبنى بر وجود اشياء ممنوعه ياخارج از استفاده رسمى ويا شخصى، امكان‏پذير و قانونى است، هر چند دارنده مصونيت معترض باشد. </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مقصود از دلايل جدى آن است كه بايد ظن قوى قريب به يقين وجود داشته ، اطمينان حاصل شود كه با تفتيش، ظن، مبدل به يقين خواهد شد و الاّ ممكن است مسؤوليت مأمور گمرك يا دولت را در پى داشته باشد. ضرورت حضور دارنده مصونيت براى اين است كه خود شاهد وجود اشياء مظنون بوده، اطمينان داشته باشد كه در غياب او در توشه چيزى قرار نداده‏اند.(صدر، جواد: 6-115)</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قاچاق مواد مخدر، سرقت اشياء باستانى، قاچاق ارز، بيشتر از طريق توشه شخصى و كيسه ديپلماتيك صورت مى‏گيرد. در كشور ما نيز مشاركت مأموريتهاى ديپلماتيك در توزيع نوارهاى ممنوعه ويدئويى، قاچاق اموال و اشياء باستانى و نسخه‏هاى قديم كتاب و عتيقه‏جات از موارد سوء استفاده از مصونيتهاى ديپلماتيك شمرده مى‏شوند. طبق يك گزارش، 16 سفارتخانه اروپايى در ايران، در كار قاچاق عتيقه‏جات بطور گسترده دخالت داشته‏اند.(معين‏زاده: 115) در نقطه مقابل يك ديپلمات ايرانى به تحريك يك تاجر فرش، تعدادى قالى ايرانى را با بهره‏مندى از معافيت حقوق گمركى وارد كشور پذيرنده كرد و بلافاصله اين قاليها در معرض فروش گذاشته شد. اين امر از نظر مأموران كشور پذيرنده مخفى نماند و موضوع علنى شد. البته براى نمايندگيهاى ديپلماتيك در همه كشورها نمونه‏هايى از اين دست يافت مى‏شود؛ زيرا ممكن است آن دسته از مأمورانى كه به اهميت خطير وظايف خود و يا اعتبار دولت فرستده خود واقف نيستند، از گرانى يا ممنوعيت برخى كالاها در محل مأموريت سوء استفاده كرده، با وارد كردن اشيا بدون پرداخت حقوق گمركى و بازرسى، سود غيرقانونى ببرند. در كشورهايى كه تفاوت ارز دولتى و بازار آزاد وجود دارد، تخلف از مقررات ارزى نيز توسط مأموران ديپلماتيك صورت مى‏گيرد. (ر.ك: ذوالعين: 416-409)</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قاچاق سيگار، مواد مخدر، دارو و الكل در حد گسترده‏اى صورت مى‏گيرد، تا آنجا كه دو سفير از آمريكاى لاتين، دو عضو باند قاچاق مواد مخدر بودند. (</w:t>
      </w:r>
      <w:r>
        <w:rPr>
          <w:rFonts w:ascii="Arabic Transparent" w:hAnsi="Arabic Transparent" w:cs="Arabic Transparent"/>
        </w:rPr>
        <w:t>Dembinski:166</w:t>
      </w:r>
      <w:r>
        <w:rPr>
          <w:rFonts w:ascii="Arabic Transparent" w:hAnsi="Arabic Transparent" w:cs="Arabic Transparent"/>
          <w:rtl/>
        </w:rPr>
        <w:t>)</w:t>
      </w:r>
    </w:p>
    <w:p w:rsidR="0081689F" w:rsidRDefault="0081689F" w:rsidP="0081689F">
      <w:pPr>
        <w:pStyle w:val="Heading4"/>
        <w:bidi/>
        <w:rPr>
          <w:rFonts w:ascii="Arabic Transparent" w:hAnsi="Arabic Transparent" w:cs="Arabic Transparent"/>
          <w:rtl/>
        </w:rPr>
      </w:pPr>
      <w:r>
        <w:rPr>
          <w:rFonts w:ascii="Arabic Transparent" w:hAnsi="Arabic Transparent" w:cs="Arabic Transparent"/>
          <w:rtl/>
        </w:rPr>
        <w:t>7- تخلفات رانندگى:</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مطابق مواد 22 و 30 كنوانسيون 1961 و كنوانسيونهاى مشابه، اتومبيلهاى متعلق به مأموريت و نيز مأموران ديپلماتيك از توقيف و بازرسى مصون است. موارد سوء استفاده مأموران ديپلماتيك از پلاك شخصى اتومبيل خود بسيار است. مثلا در نقاط ممنوعه و پارك ممنوع به علايم راهنمايى و رانندگى توجه چندانى نشان نمى‏دهند؛ زيرا مى‏دانند عمل آنان جريمه و مجازاتى ندارد و اين جريمه‏ها بايگانى و يا احيانا جهت اطلاع به دفتر نمايندگى ارسال مى‏شود. تخلفات رانندگى از اين قبيل در كشورهايى نظير سوئيس و امريكا كه در آنها معضل ترافيك وجود دارد بيشتر است. البته استفاده از اتومبيل، از مرحله تخلفات رانندگى فراتر رفته و از آن براى حمل كالاهاى غير قانونى و حتى اسلحه و يا فرارى دادن برخى افراد استفاده شده است.(ذوالعين: 5-374)</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طى گزارشى مربوط به سالهاى 1976 و 1977 جرايم رانندگى توسط ديپلماتها در انگلستان، 92958 مورد بوده و تخلفاتى كه موجب خسارت به افراد و احيانا قتل گرديده، فراوان اتفاق افتاده است. دبير سوم سفارت آلمان در امريكا در اثر حادثه رانندگى، يك امريكايى را به قتل رساند و پس از اين حادثه از امريكا به سفارت آلمان در تهران منتقل گرديد. در سال 1953 سفير ايران در امريكا به اتهام اينكه به طرز جنون‏آميزى رانندگى مى‏كرد، بازداشت شد. سفير با استناد به مصونيت، آزاد گرديد؛ ولى راننده به دليل آنكه كارمندان ديپلماتيك موظف به رعايت قوانين محلى هستند جريمه شد.(الملاح: 8-326)</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ـ در سوم ژانويه سال 1997 يكى از ديپلماتهاى گرجستان به نام «گئورگى ماهارادزه»(</w:t>
      </w:r>
      <w:proofErr w:type="spellStart"/>
      <w:r>
        <w:rPr>
          <w:rFonts w:ascii="Arabic Transparent" w:hAnsi="Arabic Transparent" w:cs="Arabic Transparent"/>
        </w:rPr>
        <w:t>Gueorgui</w:t>
      </w:r>
      <w:proofErr w:type="spellEnd"/>
      <w:r>
        <w:rPr>
          <w:rFonts w:ascii="Arabic Transparent" w:hAnsi="Arabic Transparent" w:cs="Arabic Transparent"/>
        </w:rPr>
        <w:t xml:space="preserve"> </w:t>
      </w:r>
      <w:proofErr w:type="spellStart"/>
      <w:r>
        <w:rPr>
          <w:rFonts w:ascii="Arabic Transparent" w:hAnsi="Arabic Transparent" w:cs="Arabic Transparent"/>
        </w:rPr>
        <w:t>Makharadze</w:t>
      </w:r>
      <w:proofErr w:type="spellEnd"/>
      <w:r>
        <w:rPr>
          <w:rFonts w:ascii="Arabic Transparent" w:hAnsi="Arabic Transparent" w:cs="Arabic Transparent"/>
          <w:rtl/>
        </w:rPr>
        <w:t>) در يك حادثه رانندگى با سرعت زياد، در واشنگتن، دختر شانزده ساله‏اى را به قتل رساند.اين حادثه موجب برخورد پنج اتومبيل با يكديگر شد. در پى اين حادثه رئيس جمهور گرجستان «شواردنازه» از مصونيت ديپلمات مزبور صرف نظر كرد كه متعاقب آن وى در امريكا محاكمه و به 20 سال حبس محكوم شد.(ذوالعين: 379)</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lastRenderedPageBreak/>
        <w:t>ـ در ژانويه سال 1997 سفير زئير در شهر مانتون (</w:t>
      </w:r>
      <w:proofErr w:type="spellStart"/>
      <w:r>
        <w:rPr>
          <w:rFonts w:ascii="Arabic Transparent" w:hAnsi="Arabic Transparent" w:cs="Arabic Transparent"/>
        </w:rPr>
        <w:t>Menton</w:t>
      </w:r>
      <w:proofErr w:type="spellEnd"/>
      <w:r>
        <w:rPr>
          <w:rFonts w:ascii="Arabic Transparent" w:hAnsi="Arabic Transparent" w:cs="Arabic Transparent"/>
          <w:rtl/>
        </w:rPr>
        <w:t>)جنوب فرانسه، در حين رانندگى با سرعت زياد با دو جوان تصادف كرد كه منجر به مرگ آنان شد. سفير به دليل برخوردارى از مصونيت مورد تعقيب و توقيف قرار نگرفت ولى دولت زئير او را فراخواند. اما مطبوعات فرانسه حملات خود را به دولت زئير آغاز كردند و رئيس جمهور زئير تحت فشار افكار عمومى فرانسه و مطبوعات از مصونيت سفير صرف نظر نمود و سفير نيز به فرانسه بازگشت تا خود را در اختيار مقامات قضايى فرانسه قرار دهد.(همان)</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بديهى است واگذاردن مجنى‏عليه به حال خود به استناد مصونيت، ناعادلانه، خلاف حقوق بشر و تضييع حقوق زيان ديده به شمار مى‏رود. از سوى ديگر نمى‏توان جبران خسارت مناسب از سوى دولت فرستنده را در كاهش بدبينى افكار عمومى ناديده گرفت.</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در مورد حوادث رانندگى، اقدامات شديدى به عمل آمده است. بيمه‏هاى اجبارى كه ضررهاى ناشى از آن تماما قابل پرداخت باشد، توقف و ضبط گواهينامه رانندگى، اخراج و انتقال در صورت تكرار تخلف و ارتكاب خلافهاى مهم نظير رانندگى در حين مستى، برخى از اين اقدامات مى‏باشند. در كشور سوئيس تا مالك اتومبيل از جمله اعضاى مأموريت، تحت پوشش بيمه شخص ثالث قرارنگيرند، به آنان گواهى رانندگى يا پلاك ماشين واگذار نمى‏شود.(ابوالوفا: 201) به همين خاطر است كه مطابق ماده 78 كنوانسيون 1975 برخلاف كنوانسيونهاى سابق برخود، دارا بودن بيمه شخص ثالث به هنگام استفاده از وسايل نقليه، اجبارى است.</w:t>
      </w:r>
    </w:p>
    <w:p w:rsidR="0081689F" w:rsidRDefault="0081689F" w:rsidP="0081689F">
      <w:pPr>
        <w:pStyle w:val="Heading4"/>
        <w:bidi/>
        <w:rPr>
          <w:rFonts w:ascii="Arabic Transparent" w:hAnsi="Arabic Transparent" w:cs="Arabic Transparent"/>
          <w:rtl/>
        </w:rPr>
      </w:pPr>
      <w:r>
        <w:rPr>
          <w:rFonts w:ascii="Arabic Transparent" w:hAnsi="Arabic Transparent" w:cs="Arabic Transparent"/>
          <w:rtl/>
        </w:rPr>
        <w:t xml:space="preserve">8- سوء استفاده اعضاى خانواده نمايندگان سياسى از مصونيت: </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هيچ يك از كنوانسيونهاى حقوق ديپلماتيك، تعريفى از«خانواده» ارائه نكرده‏اند. كميسيون حقوق بين‏الملل و كنفرانس 1961 نيز نتوانستند بر تعريف قابل قبولى دست يابند؛ زيرا خانواده، در واقع به وضعيت و موقعيت يك شخص بستگى دارد. ولى بطور معمول به كسانى كه در خانه عضو نمايندگى زندگى مى‏كنند، اعضاى خانواده اطلاق مى‏شود.(</w:t>
      </w:r>
      <w:proofErr w:type="spellStart"/>
      <w:r>
        <w:rPr>
          <w:rFonts w:ascii="Arabic Transparent" w:hAnsi="Arabic Transparent" w:cs="Arabic Transparent"/>
        </w:rPr>
        <w:t>Dembiniski</w:t>
      </w:r>
      <w:proofErr w:type="gramStart"/>
      <w:r>
        <w:rPr>
          <w:rFonts w:ascii="Arabic Transparent" w:hAnsi="Arabic Transparent" w:cs="Arabic Transparent"/>
        </w:rPr>
        <w:t>:Op.cit</w:t>
      </w:r>
      <w:proofErr w:type="spellEnd"/>
      <w:proofErr w:type="gramEnd"/>
      <w:r>
        <w:rPr>
          <w:rFonts w:ascii="Arabic Transparent" w:hAnsi="Arabic Transparent" w:cs="Arabic Transparent"/>
        </w:rPr>
        <w:t>, P.126</w:t>
      </w:r>
      <w:r>
        <w:rPr>
          <w:rFonts w:ascii="Arabic Transparent" w:hAnsi="Arabic Transparent" w:cs="Arabic Transparent"/>
          <w:rtl/>
        </w:rPr>
        <w:t>)</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در روابط ميان دولتها در خصوص مصونيتهاى همسر رئيس مأموريت يك اتفاق نظر بين‏المللى وجود دارد؛ بلكه رعايت آن از قواعد حقوق بين‏الملل عرفى به شمار مى‏آيد. همسر رئيس مأموريت از همان مصونيتها و مزاياى زوج خود برخوردار است؛ اما نسبت به همسران ساير مأموران سياسى، وحدت رويه وجود ندارد.</w:t>
      </w:r>
      <w:r>
        <w:rPr>
          <w:rFonts w:ascii="Arabic Transparent" w:hAnsi="Arabic Transparent" w:cs="Arabic Transparent"/>
        </w:rPr>
        <w:t>Oppenheim:) (</w:t>
      </w:r>
      <w:proofErr w:type="spellStart"/>
      <w:r>
        <w:rPr>
          <w:rFonts w:ascii="Arabic Transparent" w:hAnsi="Arabic Transparent" w:cs="Arabic Transparent"/>
        </w:rPr>
        <w:t>OP.Cit</w:t>
      </w:r>
      <w:proofErr w:type="spellEnd"/>
      <w:r>
        <w:rPr>
          <w:rFonts w:ascii="Arabic Transparent" w:hAnsi="Arabic Transparent" w:cs="Arabic Transparent"/>
        </w:rPr>
        <w:t xml:space="preserve"> P.812</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در مورد فرزندان رئيس مأموريت، قاعده كلى آن است كه از همان مصونيت مدنى و جزائى پدر برخوردارند؛ ولى در مورد ساير اعضاى مأموريت و فرزندان آنان با قاعده ثابت بين‏المللى روبه‏رو نيستيم.</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قاضى افنسن مى‏گويد: «سلامتى خانواده يك شخص، از حقوق اساسى هر انسان است كه نه فقط حقوق بين‏الملل عرفى و قراردادى از آن حمايت مى‏كند بلكه اصول كلى حقوق كه مورد قبول ملل متمدن جهان است نيز مؤيد آن است و احترام به خانواده جزء مكمل مصونيتها و مزايايى است كه لازمه انجام وظايف به نحو اطمينان‏بخش است.» (ابوالوفا: 228)</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به هر روى با آنكه اعضاى خانواده رئيس مأموريت و كارمندان ديپلماتيك، وظيفه‏اى در مأموريت ندارند، لكن از مصونيتهايى چون مصونيت شخصى، مصونيت محل اقامت و اموال و مصونيت قضايى، برخوردارند.</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تجاوز به عنف پسر يكى از ديپلماتهاى عربستان سعودى در ويرجينيا نسبت به دخترى شانزده ساله از نمونه‏هاى جرايم ارتكابى وابستگان مأموران ديپلماتيك است. پيشتر نيز اشاره شد كه در گزارشى از 147 جرم صورت گرفته متعلق به سالهاى 1982 تا1988، 30 مورد توسط خود ديپلماتها، 60 مورد از سوى وابستگان آنها و 57 مورد توسط ساير اعضاى مأموريت ديپلماتيك صورت گرفته است.(</w:t>
      </w:r>
      <w:r>
        <w:rPr>
          <w:rFonts w:ascii="Arabic Transparent" w:hAnsi="Arabic Transparent" w:cs="Arabic Transparent"/>
        </w:rPr>
        <w:t>BEN.ASHER: Op.cit.p.9</w:t>
      </w:r>
      <w:r>
        <w:rPr>
          <w:rFonts w:ascii="Arabic Transparent" w:hAnsi="Arabic Transparent" w:cs="Arabic Transparent"/>
          <w:rtl/>
        </w:rPr>
        <w:t>)</w:t>
      </w:r>
    </w:p>
    <w:p w:rsidR="0081689F" w:rsidRDefault="0081689F" w:rsidP="0081689F">
      <w:pPr>
        <w:pStyle w:val="Heading3"/>
        <w:bidi/>
        <w:rPr>
          <w:rFonts w:ascii="Arabic Transparent" w:hAnsi="Arabic Transparent" w:cs="Arabic Transparent"/>
          <w:rtl/>
        </w:rPr>
      </w:pPr>
      <w:r>
        <w:rPr>
          <w:rFonts w:ascii="Arabic Transparent" w:hAnsi="Arabic Transparent" w:cs="Arabic Transparent"/>
          <w:rtl/>
        </w:rPr>
        <w:t>ضمانت اجراى سوء استفاده از مصونيتها:</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lastRenderedPageBreak/>
        <w:t>سوء استفاده از مصونيت را بايد يك استثنا در اعطاى مصونيت به حساب آورد. ليك گسترش آن نگرانيهايى را در سطح داخلى و بين‏المللى به وجود آورده است. سوء استفاده‏ها خشم عمومى بسيارى از مردم را در پى داشته و اين پرسش را مطرح ساخته كه چرا برخى از انسانها با ارتكاب جرم و جنايت، مصون از تعقيب باشند و دادگاهها نتوانند در مورد آنان اقداماتى به عمل آورند و اين با جامعه دمكراتيك ناسازگار است. از سوى ديگر به نظر مى‏رسد مصونيت ديپلماتيك با عدالت و با بين‏المللى شدن حقوق بشر نيز در تعارض قرار گيرد.</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در اسناد حقوق ديپلماتيك چنانچه دارندگان مصونيت از آن سوء استفاده نمايند، ضمانتهاى زير پيش‏بينى شده است:</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1ـ اعلام شخص به عنوان «عنصر نامطلوب» توسط دولت پذيرنده.</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2ـ احضار و فرا خوانى شخص خاطى توسط دولت فرستنده.</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3ـ خاتمه دادن به وظيفه شخص خاطى توسط دولت فرستنده و انصراف از مصونيت وى، تا امكان محاكمه در كشور پذيرنده فراهم گردد.</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4ـ قطع روابط ديپلماتيك.</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ديوان بين المللى دادگسترى در رأى 1980 خود در قضيه كاركنان ديپلماتيك و كنسولى ايالات متحده در تهران به موارد چهارگانه فوق اشاره كرده و مى‏گويد:«قواعد حقوق ديپلماتيك در بردارنده رژيمى است كه از يك سو تعهدات كشور پذيرنده را در مورد احترام به تسهيلات، مزايا و مصونيتهاى مأموريتهاى ديپلماتيك معين مى‏نمايد و از سوى ديگر در صورت سوء استفاده اعضاى مأموريت، پيش‏بينى‏هاى ممكن را نموده و ابزارهاى خاص مقابله با هر گونه سوء استفاده را در اختيار كشور پذيرنده قرار داده است. در صورت سوء استفاده از قبيل جاسوسى و مداخله در امور داخلى، به ملاحظه اينكه در عمل، اثبات اين جرايم مشكل است، مى‏توان مطابق (ماده 9 بند 1) كنوانسيون روابط ديپلماتيك (1961)، خاطى را عنصر نامطلوب يا غير قابل قبول اعلام كرد. علاوه بر آن چاره اصلى جلوگيرى از سوء استفاده وظايف ديپلماتيك كه در حد گسترده‏اى صورت مى‏گيرد، در اختيار دولت پذيرنده است. هر كشور پذيرنده‏اى مى‏تواند چنانچه صلاح بداند به قطع روابط ديپلماتيك اقدام نموده، فورا خاتمه مأموريت فرد خاطى را اعلام نمايد».(</w:t>
      </w:r>
      <w:proofErr w:type="spellStart"/>
      <w:r>
        <w:rPr>
          <w:rFonts w:ascii="Arabic Transparent" w:hAnsi="Arabic Transparent" w:cs="Arabic Transparent"/>
        </w:rPr>
        <w:t>Ziccardi</w:t>
      </w:r>
      <w:proofErr w:type="spellEnd"/>
      <w:r>
        <w:rPr>
          <w:rFonts w:ascii="Arabic Transparent" w:hAnsi="Arabic Transparent" w:cs="Arabic Transparent"/>
        </w:rPr>
        <w:t>: 61</w:t>
      </w:r>
      <w:r>
        <w:rPr>
          <w:rFonts w:ascii="Arabic Transparent" w:hAnsi="Arabic Transparent" w:cs="Arabic Transparent"/>
          <w:rtl/>
        </w:rPr>
        <w:t>)</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با گسترش سوء استفاده از مصونيتها، تمهيداتى براى مقابله با اين معضل پيش بينى شده است.</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در سال 1986 وزراى خارجه كشورهاى عضو اتحاديه اروپا طى قطعنامه‏اى اعلام كردند:در زمينه مبارزه با تروريسم و اعمال تروريستى عليه ديپلماتها و كنسولها كه ناشى از سوء استفاده از مصونيتها و مزاياست، همكارى خواهند نمود؛ ولى تحقق اين هدف نيازمند موارد زير است:</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1) همكارى در تبادل اطلاعات مربوط به آن دسته از اعضاى مأموريتها كه با تروريست‏ها مرتبط‏اند. 2) عدم پذيرش ديپلماتى كه در اعمال تروريستى دخالت داشته است. 3) كاهش حجم اعضاى مأموريت و اماكن آن. 4) تلاش براى اتخاذ موضع واحد در برابر كشورهايى كه عمليات تروريستى را ترغيب مى‏نمايند. 5) تسهيل تبادل اطلاعات در مورد تهديد عليه مأموريتها در كشورهاى اتحاديه اروپا.</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همچنين اين ايده اكنون مطرح است كه مقررات كنوانسيون وين 1961 پاسخگوى معضل سوء استفاده از مصونيتها نيست و بايد از راههاى ديگر با آن مقابله نمود از جمله: گسترش همكارى بين‏المللى، شدت اخطارها به اعضاى مأموريت و ارتقاى سطح آگاهيهاى لازم به آنان، تقليل اماكن مأموريت و اعضاى آن، شدت عمل در بازرسى كيسه‏هاى ديپلماتيك با وجود دلايل جدى بر آنكه محتويات آن براى امنيت ملى يا امنيت عمومى مخاطره‏آميز است. پيشنهاد اخير از سوى دولت بريتانيا مطرح شده ولى اضافه مى‏كند: نبايد به عنوان سياست كلى به آن نگاه كرد و الاّ در مورد كيسه‏هاى ديپلماتيك بريتانيا مقابله به مثل خواهد شد!(ابوالوفا: 292)</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lastRenderedPageBreak/>
        <w:t>در ادامه به مهم‏ترين ضمانتهايى كه اكنون براى مقابله با سوء استفاده از مصونيتها وجود دارد و يا مى‏تواند مطرح باشد خواهيم پرداخت:</w:t>
      </w:r>
    </w:p>
    <w:p w:rsidR="0081689F" w:rsidRDefault="0081689F" w:rsidP="0081689F">
      <w:pPr>
        <w:pStyle w:val="Heading4"/>
        <w:bidi/>
        <w:rPr>
          <w:rFonts w:ascii="Arabic Transparent" w:hAnsi="Arabic Transparent" w:cs="Arabic Transparent"/>
          <w:rtl/>
        </w:rPr>
      </w:pPr>
      <w:r>
        <w:rPr>
          <w:rFonts w:ascii="Arabic Transparent" w:hAnsi="Arabic Transparent" w:cs="Arabic Transparent"/>
          <w:rtl/>
        </w:rPr>
        <w:t>1ـ اعلام شخص به عنوان «عنصر نامطلوب» از سوى دولت پذيرنده.</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چنانچه دولت پذيرنده، از رئيس مأموريت يا يكى از كاركنان ديپلماتيك آن به دليل ارتكاب اعمال مغاير با وظايف ديپلماتيك و سوء استفاده از مصونيت اعطايى و يا هر دليل ديگر ناراضى باشد، مى‏تواند او را «عنصر نامطلوب» (</w:t>
      </w:r>
      <w:r>
        <w:rPr>
          <w:rFonts w:ascii="Arabic Transparent" w:hAnsi="Arabic Transparent" w:cs="Arabic Transparent"/>
        </w:rPr>
        <w:t>Persona non grata</w:t>
      </w:r>
      <w:r>
        <w:rPr>
          <w:rFonts w:ascii="Arabic Transparent" w:hAnsi="Arabic Transparent" w:cs="Arabic Transparent"/>
          <w:rtl/>
        </w:rPr>
        <w:t>) اعلام نمايد. در آن صورت دولت فرستنده، يا او را احضار مى‏كند و يا به وظايف وى در مأموريت خاتمه مى‏دهد و چنانچه اين عمل توسط دولت فرستنده صورت نگيرد، با گذشت مدت معقول، دولت پذيرنده مى‏تواند از شناسايى وى به عنوان عضو مأموريت خوددارى نموده، همچون افراد عادى و فاقد مصونيت با او برخورد نمايد. (ر.ك: ماده 9 كنوانسيون 1961)</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به نظر مى‏رسد شدت عمل در اعلام شخص سوء استفاده كننده به عنوان عنصر نامطلوب حتى در مواردى نظير تخلفات رانندگى شديد و ممانعت از پرداخت حق پاركينگ، در كاهش سوء استفاده‏ها تاثير بسزايى داشته باشد. كشورهايى چون آلمان، فرانسه و ايتاليا ديپلماتهاى مظنون به همكارى در جرايم را اخراج مى‏كنند. (</w:t>
      </w:r>
      <w:r>
        <w:rPr>
          <w:rFonts w:ascii="Arabic Transparent" w:hAnsi="Arabic Transparent" w:cs="Arabic Transparent"/>
        </w:rPr>
        <w:t>BEN.ASHER: Op.cit</w:t>
      </w:r>
      <w:r>
        <w:rPr>
          <w:rFonts w:ascii="Arabic Transparent" w:hAnsi="Arabic Transparent" w:cs="Arabic Transparent"/>
          <w:rtl/>
        </w:rPr>
        <w:t xml:space="preserve">. </w:t>
      </w:r>
      <w:r>
        <w:rPr>
          <w:rFonts w:ascii="Arabic Transparent" w:hAnsi="Arabic Transparent" w:cs="Arabic Transparent"/>
        </w:rPr>
        <w:t>p.31</w:t>
      </w:r>
      <w:r>
        <w:rPr>
          <w:rFonts w:ascii="Arabic Transparent" w:hAnsi="Arabic Transparent" w:cs="Arabic Transparent"/>
          <w:rtl/>
        </w:rPr>
        <w:t>)</w:t>
      </w:r>
    </w:p>
    <w:p w:rsidR="0081689F" w:rsidRDefault="0081689F" w:rsidP="0081689F">
      <w:pPr>
        <w:pStyle w:val="Heading4"/>
        <w:bidi/>
        <w:rPr>
          <w:rFonts w:ascii="Arabic Transparent" w:hAnsi="Arabic Transparent" w:cs="Arabic Transparent"/>
          <w:rtl/>
        </w:rPr>
      </w:pPr>
      <w:r>
        <w:rPr>
          <w:rFonts w:ascii="Arabic Transparent" w:hAnsi="Arabic Transparent" w:cs="Arabic Transparent"/>
          <w:rtl/>
        </w:rPr>
        <w:t>2- انصراف از مصونيت (</w:t>
      </w:r>
      <w:r>
        <w:rPr>
          <w:rFonts w:ascii="Arabic Transparent" w:hAnsi="Arabic Transparent" w:cs="Arabic Transparent"/>
        </w:rPr>
        <w:t>Waiver of Immunity</w:t>
      </w:r>
      <w:r>
        <w:rPr>
          <w:rFonts w:ascii="Arabic Transparent" w:hAnsi="Arabic Transparent" w:cs="Arabic Transparent"/>
          <w:rtl/>
        </w:rPr>
        <w:t>)</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چنانكه گفته شد مأموران ديپلماتيك و كارمندان سفارتخانه‏ها، مصون از تعقيب و توقيف بوده، از مصونيت قضايى و اجرايى برخوردارند. از سوى ديگر چنانچه اين افراد، مرتكب جرم و يا تخلف گردند، براى تحقق عدالت و به ملاحظه مشكلات پى‏گيريهاى قضايى مربوط به مأمور خاطى در كشور متبوع وى، حقوقدانان به عنوان يك راه حل و نه يك تكليف، مسأله انصراف از مصونيت را به منظور رعايت حقوق دولت پذيرنده و اتباع آن، مطرح كرده‏اند. در اين صورت چنانچه دولت فرستنده از مصونيت فرستاده خود صرف نظر كند، قوانين و مقررات دولت پذيرنده در مورد فرستاده خاطى، قابل اعمال خواهد بود.</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اما بر اساس بند 1 ماده 32 كنوانسيون 1961، دولت فرستنده مختار است كه از مصونيت مأمور خود صرف نظر نمايد. موضوع در ديگر كنوانسيونهاى حقوق ديپلماتيك تقريبا مشابه است.</w:t>
      </w:r>
      <w:r>
        <w:rPr>
          <w:rFonts w:ascii="Arabic Transparent" w:hAnsi="Arabic Transparent" w:cs="Arabic Transparent"/>
          <w:vertAlign w:val="superscript"/>
          <w:rtl/>
        </w:rPr>
        <w:t>(9)</w:t>
      </w:r>
      <w:r>
        <w:rPr>
          <w:rFonts w:ascii="Arabic Transparent" w:hAnsi="Arabic Transparent" w:cs="Arabic Transparent"/>
          <w:rtl/>
        </w:rPr>
        <w:t xml:space="preserve"> پرسشهاى متعددى در خصوص انصراف از مصونيت مطرح‏اند كه يكى از مهم‏ترين آنها اين است كه چه كسى حق انصراف از مصونيت را دارد؟ دولت فرستنده يا دولت پذيرنده و يا مأمور ديپلماتيك؟ در پاسخ بايد گفت: مصونيت به منظور تسهيل در انجام وظيفه بر قرار مى‏گردد. به عبارت ديگر اعطاى مصونيت به مصلحت دولت فرستنده و به اعتبار اينكه مأمور ديپلماتيك، نمايندگى آن را بر عهده دارد، در نظر گرفته مى‏شود. بنابراين فقط همين دولت است كه حق انصراف از مصونيت را خواهد داشت و حتى ديپلماتْ خود نمى‏تواند از مصونيت خود صرف نظر كند؛ زيرا مصونيت به مصلحت شخص او در نظر گرفته نشده تا به مصلحت وى ساقط شود؛ بلكه به اعتبار دولت فرستنده و اين كه وى نمايندگى آن را بر عهده دارد برقرار گرديده است.</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 xml:space="preserve">بنابراين به هيچ روى نمى‏تواند در انصراف از مصونيت نقشى داشته باشد؛ زيرا حقى براى وى در اين باره شناخته نشده است. نتيجه آن است كه مصونيت و انصراف از آن حق دولتين فرستنده و پذيرنده است و ساده‏ترين قاعده در اِعمال و اسقاط يك حق آن است كه دارنده و مالك يك حق مى‏تواند از اعمال آن منصرف شود و اينجا همان دولت فرستنده است كه حق انصراف از مصونيت مأمور خود را خواهد داشت. </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ـ در سال 1992 ديپلماتى از پاراگوئه در امريكا زنى را علاوه بر تجاوز جنسى به قتل رساند. به دليل بى رحمى شديد به كار رفته در اين جرم، مأموران ايالت ويرجينيا او را دستگير و متعاقب آن دادگاه، وى را مجرم شناخت. مقامات پاراگوئه در اين قضيه واكنشى از خود نشان ندادند و دادگاه ويرجينيا نيز از شناسايى مصونيت ديپلماتيك خوددارى و او را به اعدام محكوم كرد.(</w:t>
      </w:r>
      <w:r>
        <w:rPr>
          <w:rFonts w:ascii="Arabic Transparent" w:hAnsi="Arabic Transparent" w:cs="Arabic Transparent"/>
        </w:rPr>
        <w:t>Diplomatic-immunity: Ibid</w:t>
      </w:r>
      <w:proofErr w:type="gramStart"/>
      <w:r>
        <w:rPr>
          <w:rFonts w:ascii="Arabic Transparent" w:hAnsi="Arabic Transparent" w:cs="Arabic Transparent"/>
        </w:rPr>
        <w:t>,p.4</w:t>
      </w:r>
      <w:proofErr w:type="gramEnd"/>
      <w:r>
        <w:rPr>
          <w:rFonts w:ascii="Arabic Transparent" w:hAnsi="Arabic Transparent" w:cs="Arabic Transparent"/>
          <w:rtl/>
        </w:rPr>
        <w:t>)</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lastRenderedPageBreak/>
        <w:t>مطابق كنوانسيونهاى مصونيتها و مزاياى سازمانهاى بين‏المللى؛ چنانچه مصونيتهاى نمايندگان دول عضو، مانع اجراى عدالت گردد و سلب مصونيت به هدفى كه به منظور آن اعطاى مصونيت شده لطمه‏اى وارد نسازد، دولت فرستنده موظف به سلب مصونيت است.</w:t>
      </w:r>
      <w:r>
        <w:rPr>
          <w:rFonts w:ascii="Arabic Transparent" w:hAnsi="Arabic Transparent" w:cs="Arabic Transparent"/>
          <w:vertAlign w:val="superscript"/>
          <w:rtl/>
        </w:rPr>
        <w:t>(10)</w:t>
      </w:r>
      <w:r>
        <w:rPr>
          <w:rFonts w:ascii="Arabic Transparent" w:hAnsi="Arabic Transparent" w:cs="Arabic Transparent"/>
          <w:rtl/>
        </w:rPr>
        <w:t xml:space="preserve"> بخش 14 كنوانسيون 1946 به وضوح مى‏گويد: مزايا و مصونيتها جهت تأمين استقلال در اجراى وظايف است. بنابراين هر دولت عضو نه تنها حق دارد، بلكه مكلف است در مواردى كه بنا به تشخيص او مصونيت، مانع اجراى عدالت است و انصراف از آن به هدفى كه به سبب آن مصونيت اعطا شده خللى وارد نمى‏آورد، از مصونيت نماينده خود صرف نظر كند.</w:t>
      </w:r>
      <w:r>
        <w:rPr>
          <w:rFonts w:ascii="Arabic Transparent" w:hAnsi="Arabic Transparent" w:cs="Arabic Transparent"/>
          <w:vertAlign w:val="superscript"/>
          <w:rtl/>
        </w:rPr>
        <w:t>(11)</w:t>
      </w:r>
      <w:r>
        <w:rPr>
          <w:rFonts w:ascii="Arabic Transparent" w:hAnsi="Arabic Transparent" w:cs="Arabic Transparent"/>
          <w:rtl/>
        </w:rPr>
        <w:t xml:space="preserve"> بدين ترتيب صلاحيت سرزمينى كشور ميزبان به طور ضمنى در صورت سلب مصونيت از نمايندگان، حفظ گرديده است.</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هرچند انصراف از مصونيت، موجب صلاحيت قضايى دولت پذيرنده مى‏شود، اما موانعى نيز در برابر آن وجود دارد:</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اولاً- انصراف از مصونيت فقط در مورد شخص ديپلمات يا ديگر اشخاص دارنده مصونيت مطرح است. بنابراين شامل انواع ديگر مصونيتها مانند مصونيت اماكن مأموريت نخواهد بود. اماكن مأموريت هرچند مورد سوء استفاده قرار گيرند مصونيت آنان غير قابل نقض است و تنها مى‏توان كارمندان و مأموران ديپلماتيك در آن را به عنوان عنصر نامطلوب اعلام نمود.</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ثانيا- انصراف از مصونيت (بر اساس بند 1 ماده 32 كنوانسيون 1961) اختيارى است. به همين دليل نمى‏تواند مكانيسم كاملى براى جلوگيرى از سوء استفاده‏ها به حساب آيد. به نظر مى‏رسد چنانچه كشورها بطور دو جانبه يا به صورت منطقه‏اى، انصراف از مصونيت را به صورت اجبارى بپذيرند، مكانيسم مناسبى براى جلوگيرى از سوء استفاده از مصونيتها خواهد بود.</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 xml:space="preserve">ثالثا- از نقطه نظر عملى، انصراف از مصونيت به ندرت صورت مى‏گيرد و دولتها در اين باره از خود انعطاف كمترى نشان مى‏دهند. بويژه در موارد مصونيتهاى جزايى، دولتها حاضر نيستند كه از مصونيت فرستاده خود صرف نظر كنند. مقررات انصراف از مصونيت، نيازمند اقدامات دولت ميزبان نيز هست كه در اكثر موارد در عمل غير ممكن است. </w:t>
      </w:r>
    </w:p>
    <w:p w:rsidR="0081689F" w:rsidRDefault="0081689F" w:rsidP="0081689F">
      <w:pPr>
        <w:pStyle w:val="Heading4"/>
        <w:bidi/>
        <w:rPr>
          <w:rFonts w:ascii="Arabic Transparent" w:hAnsi="Arabic Transparent" w:cs="Arabic Transparent"/>
          <w:rtl/>
        </w:rPr>
      </w:pPr>
      <w:r>
        <w:rPr>
          <w:rFonts w:ascii="Arabic Transparent" w:hAnsi="Arabic Transparent" w:cs="Arabic Transparent"/>
          <w:rtl/>
        </w:rPr>
        <w:lastRenderedPageBreak/>
        <w:t>3-كاهش تعداد مأموران ديپلماتيك :</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تعداد ديپلماتهاى برخوردار از مصونيت را تا 400000 نفر در سطح بين‏المللى برآورد مى‏كنند (ابوالوفا: 139) و كشورهايى كه ميزبان سازمانهاى بين‏المللى هستند، شاهد حضور بيشترى از ديپلماتها مى‏باشند.</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 xml:space="preserve">انتخاب اعضاى مأموريتهاى خارج از كشور گاهى به انگيزه‏هاى شخصى و گاه سياسى صورت مى‏گيرد. مقام مسئول در داخل كشور ممكن است مسئوليتهاى مأموريت خارجى را به اقارب و نزديكان خود بسپارد يا به منظور آنكه مخالفان سياسى را از صحنه سياسى كشور دور سازد و چند صباحى آسوده‏خاطر بماند، آنان را به خارج از كشور اعزام دارد و گاهى به قصد تشويق، فردى را به اينگونه مأموريتها اعزام مى‏دارند. چنين انگيزه‏هايى براى اعزام، با هدف اساسى اعطاى مصونيتها ناسازگاراست. </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در گزارشى آمده است: سوء استفاده از مصونيتها و مزاياى ديپلماتيك به ماده 7 كنوانسيون 1961 بر مى‏گردد؛ زيرا در آن آزادى عمل انتخاب اعضاى مأموريت براى دولت فرستنده، محفوظ داشته شده است و اين آزادى عمل موجب مى‏شود كه دولتها مأموران ادارى و فنى را اعضاى ديپلماتيك معرفى كنند.</w:t>
      </w:r>
      <w:r>
        <w:rPr>
          <w:rFonts w:ascii="Arabic Transparent" w:hAnsi="Arabic Transparent" w:cs="Arabic Transparent"/>
          <w:vertAlign w:val="superscript"/>
          <w:rtl/>
        </w:rPr>
        <w:t>(12)</w:t>
      </w:r>
      <w:r>
        <w:rPr>
          <w:rFonts w:ascii="Arabic Transparent" w:hAnsi="Arabic Transparent" w:cs="Arabic Transparent"/>
          <w:rtl/>
        </w:rPr>
        <w:t xml:space="preserve"> يا كسانى مانند دانشجويان و اساتيد را كه در مأموريت ديپلماتيك وظيفه‏اى بر عهده ندارند، در رديف دارندگانِ وضعيت ديپلماتيك معرفى نمايند. همچنين عبارت «افراد خانواده كه با مأمور سياسى در يك مسكن زندگى مى‏كنند»</w:t>
      </w:r>
      <w:r>
        <w:rPr>
          <w:rFonts w:ascii="Arabic Transparent" w:hAnsi="Arabic Transparent" w:cs="Arabic Transparent"/>
          <w:vertAlign w:val="superscript"/>
          <w:rtl/>
        </w:rPr>
        <w:t>(13)</w:t>
      </w:r>
      <w:r>
        <w:rPr>
          <w:rFonts w:ascii="Arabic Transparent" w:hAnsi="Arabic Transparent" w:cs="Arabic Transparent"/>
          <w:rtl/>
        </w:rPr>
        <w:t xml:space="preserve"> حدود مشخصى ندارد و گاهى ممكن است كارمندان محلى و عادى را به عنوان اعضاى ادارى و فنى معرفى نمايند.اينها مواردى است كه موجب سوء استفاده از مصونيتها و مزايا مى‏گردد.(ابوالوفا: 64 </w:t>
      </w:r>
      <w:r>
        <w:rPr>
          <w:rFonts w:ascii="Arabic Transparent" w:hAnsi="Arabic Transparent" w:cs="Arabic Transparent"/>
        </w:rPr>
        <w:t>AJIL</w:t>
      </w:r>
      <w:r>
        <w:rPr>
          <w:rFonts w:ascii="Arabic Transparent" w:hAnsi="Arabic Transparent" w:cs="Arabic Transparent"/>
          <w:rtl/>
        </w:rPr>
        <w:t xml:space="preserve">, </w:t>
      </w:r>
      <w:r>
        <w:rPr>
          <w:rFonts w:ascii="Arabic Transparent" w:hAnsi="Arabic Transparent" w:cs="Arabic Transparent"/>
        </w:rPr>
        <w:t>Vol,80,1988,p.137-8</w:t>
      </w:r>
      <w:r>
        <w:rPr>
          <w:rFonts w:ascii="Arabic Transparent" w:hAnsi="Arabic Transparent" w:cs="Arabic Transparent"/>
          <w:rtl/>
        </w:rPr>
        <w:t>;)</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در كنوانسيونهاى حقوق ديپلماتيك، تعداد افراد مأموريت، سقف معينى ندارد و نمى‏توان براى آن حداقل يا حداكثرى در نظر گرفت. به همين جهت فقط توصيه شده است كه تعداد افراد از حد معقول و متعارف تجاوز نكند. (ماده 11 كنوانسيون 1961، ماده 14 و 46 كنوانسيون 1975) اين وضعيت در عمل موجب بروز مشكلات و سوء استفاده‏هاى فراوانى گرديده و خواهد گرديد. در نتيجه بايد به دولت پذيرنده، حق داد تا از كشور فرستنده بخواهد كه سقف اعضاى مأموريت و تعداد آنها را كاهش دهد كه البته در سالهاى اخير فشار براى كاهش آن بيشتر شده است.(</w:t>
      </w:r>
      <w:proofErr w:type="spellStart"/>
      <w:r>
        <w:rPr>
          <w:rFonts w:ascii="Arabic Transparent" w:hAnsi="Arabic Transparent" w:cs="Arabic Transparent"/>
        </w:rPr>
        <w:t>Brownlie</w:t>
      </w:r>
      <w:proofErr w:type="spellEnd"/>
      <w:r>
        <w:rPr>
          <w:rFonts w:ascii="Arabic Transparent" w:hAnsi="Arabic Transparent" w:cs="Arabic Transparent"/>
        </w:rPr>
        <w:t>: Op</w:t>
      </w:r>
      <w:proofErr w:type="gramStart"/>
      <w:r>
        <w:rPr>
          <w:rFonts w:ascii="Arabic Transparent" w:hAnsi="Arabic Transparent" w:cs="Arabic Transparent"/>
        </w:rPr>
        <w:t>,cit,P.351</w:t>
      </w:r>
      <w:proofErr w:type="gramEnd"/>
      <w:r>
        <w:rPr>
          <w:rFonts w:ascii="Arabic Transparent" w:hAnsi="Arabic Transparent" w:cs="Arabic Transparent"/>
          <w:rtl/>
        </w:rPr>
        <w:t>)</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همچنين راه حلهاى ديگرى براى جبران خسارت زيان‏ديده و مقابله با معضل سوء استفاده از مصونيتهاى ديپلماتيك مطرح مى‏شود؛ از آن جمله است:</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 xml:space="preserve">- قطع روابط ديپلماتيك: </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برخى از كشورها به منظور پيشگيرى از جرايم ارتكابى به قطع روابط ديپلماتيك اقدام كردند. به عنوان مثال امريكا دفتر مردمى ليبى را در واشنگتن در سال 1981 براى جلوگيرى از احتمال خطر تروريسم تعطيل كرد.(</w:t>
      </w:r>
      <w:proofErr w:type="gramStart"/>
      <w:r>
        <w:rPr>
          <w:rFonts w:ascii="Arabic Transparent" w:hAnsi="Arabic Transparent" w:cs="Arabic Transparent"/>
        </w:rPr>
        <w:t>Ben-Asher: op.cit, p.38</w:t>
      </w:r>
      <w:r>
        <w:rPr>
          <w:rFonts w:ascii="Arabic Transparent" w:hAnsi="Arabic Transparent" w:cs="Arabic Transparent"/>
          <w:rtl/>
        </w:rPr>
        <w:t>) بعلاوه ديوان نيز در قضيه سفارتخانه امريكا در تهران يكى از راه حلهاى مبارزه با سوء استفاده را قطع روابط دانست.</w:t>
      </w:r>
      <w:proofErr w:type="gramEnd"/>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ـ طرح دعوا توسط متضرر نزد دولت فرستنده:</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اين وضعيت، شانس زيان‏ديده را براى جبران خسارت، غير ممكن مى‏كند و از نقطه نظر عملى نيز با دشواريهاى بسيار توأم است.</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ـ تقويت بيمه براى اماكن مأموريت و نيز سفارتخانه‏ها:</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در اين وضعيت، زيانديده مى‏تواند مطمئن باشد كه بيمه بدون دخالت عنصر خارجى، به طور مستقيم خسارت وارده از سوى اماكن مأموريت و اشخاص را جبران مى‏كند.(</w:t>
      </w:r>
      <w:r>
        <w:rPr>
          <w:rFonts w:ascii="Arabic Transparent" w:hAnsi="Arabic Transparent" w:cs="Arabic Transparent"/>
        </w:rPr>
        <w:t>Diplomatic</w:t>
      </w:r>
      <w:r>
        <w:rPr>
          <w:rFonts w:ascii="Arabic Transparent" w:hAnsi="Arabic Transparent" w:cs="Arabic Transparent"/>
          <w:rtl/>
        </w:rPr>
        <w:t xml:space="preserve"> </w:t>
      </w:r>
      <w:r>
        <w:rPr>
          <w:rFonts w:ascii="Arabic Transparent" w:hAnsi="Arabic Transparent" w:cs="Arabic Transparent"/>
        </w:rPr>
        <w:t>Immunity</w:t>
      </w:r>
      <w:proofErr w:type="gramStart"/>
      <w:r>
        <w:rPr>
          <w:rFonts w:ascii="Arabic Transparent" w:hAnsi="Arabic Transparent" w:cs="Arabic Transparent"/>
        </w:rPr>
        <w:t>,:</w:t>
      </w:r>
      <w:proofErr w:type="gramEnd"/>
      <w:r>
        <w:rPr>
          <w:rFonts w:ascii="Arabic Transparent" w:hAnsi="Arabic Transparent" w:cs="Arabic Transparent"/>
        </w:rPr>
        <w:t xml:space="preserve"> op.cit, p.9</w:t>
      </w:r>
      <w:r>
        <w:rPr>
          <w:rFonts w:ascii="Arabic Transparent" w:hAnsi="Arabic Transparent" w:cs="Arabic Transparent"/>
          <w:rtl/>
        </w:rPr>
        <w:t xml:space="preserve">) هرچند بيمه در </w:t>
      </w:r>
      <w:r>
        <w:rPr>
          <w:rFonts w:ascii="Arabic Transparent" w:hAnsi="Arabic Transparent" w:cs="Arabic Transparent"/>
          <w:rtl/>
        </w:rPr>
        <w:lastRenderedPageBreak/>
        <w:t>دعاوى مدنى، ساز و كار مناسبى به شمار مى‏آيد، اما در موارد كيفرى نمى‏تواند براى زدودن پيامدهاى ناشى از جرم صورت گرفته كافى باشد.</w:t>
      </w:r>
    </w:p>
    <w:p w:rsidR="0081689F" w:rsidRDefault="0081689F" w:rsidP="0081689F">
      <w:pPr>
        <w:pStyle w:val="Heading3"/>
        <w:bidi/>
        <w:rPr>
          <w:rFonts w:ascii="Arabic Transparent" w:hAnsi="Arabic Transparent" w:cs="Arabic Transparent"/>
          <w:rtl/>
        </w:rPr>
      </w:pPr>
      <w:r>
        <w:rPr>
          <w:rFonts w:ascii="Arabic Transparent" w:hAnsi="Arabic Transparent" w:cs="Arabic Transparent"/>
          <w:rtl/>
        </w:rPr>
        <w:t>نتيجه و خلاصه:</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مصونيتها به اين دليل به نمايندگان دولتها و مأموريتهاى اعزامى اعطا مى‏شود تا آنان بتوانند با اطمينان كامل به انجام وظايف پيش‏بينى شده بپردازند. دارندگان مصونيت موظف‏اند مقررات و قوانين دولت پذيرنده را مراعات نموده، از مداخله در امور داخلى آن دولت بپرهيزند. چنانچه اين دو اصل را رعايت ننمايند و به اعمالى مبادرت ورزند كه مغاير با وظايف آنان است، از مصونيتهاى اعطايى سوء استفاده كرده‏اند.اخراج شخص به عنوان عنصرنامطلوب، سلب مصونيت اختيارى و قطع روابط ديپلماتيك، ضمانت اجراى سنتى سوء استفاده از مصونيتهاست. ولى با گسترش و تنوع سوء استفاده‏ها مى‏توان مواردى چون؛ شدت عمل در اعلام شخص به عنوان عنصر نامطلوب، سلب مصونيت اجبارى، كاهش تعداد اعضاى مأموريتهاى ديپلماتيك و توسعه بيمه‏هاى اجبارى را در كاهش و يا جلوگيرى از سوء استفاده‏ها مدنظر قرار داد.</w:t>
      </w:r>
    </w:p>
    <w:p w:rsidR="0081689F" w:rsidRDefault="0081689F" w:rsidP="0081689F">
      <w:pPr>
        <w:pStyle w:val="Heading4"/>
        <w:bidi/>
        <w:rPr>
          <w:rFonts w:ascii="Arabic Transparent" w:hAnsi="Arabic Transparent" w:cs="Arabic Transparent"/>
          <w:rtl/>
        </w:rPr>
      </w:pPr>
      <w:r>
        <w:rPr>
          <w:rFonts w:ascii="Arabic Transparent" w:hAnsi="Arabic Transparent" w:cs="Arabic Transparent"/>
          <w:rtl/>
        </w:rPr>
        <w:t>منابع:</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1 - آكهرست، مايكل: كليات نوين حقوق بين‏الملل، ترجمه: مهراب داراب پور، چاپ اول، انتشارات جهان معاصر، تهران،1372، ص 159.</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2 - ابوالوفا، احمد: قانون العلاقات الدبلوماسية و القنصلية، دارالنهضة العربية، القاهرة، 1996.</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3 - احمد بن فارس: معجم مقاييس اللغة، ج3، مكتبة الاعلام الاسلامى، قم، ص324.</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4 - اسداللهى، مسعود: احياى كاپيتولاسيون و پيامدهاى آن، سازمان تبليغات اسلامى، چاپ اول، 1373.</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5 - البكرى، عدنان: العلاقات الدبلوماسية و القنصلية، مؤسسه الجامعية، الطبعة الاولى، بيروت1986.</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6 - الحموى، مامون: المصطلاحات الدبلوماسية، مكتبة خياط، بيروت، 1966.</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7 - الشامى، على حسين: الدبلوماسية، دار العلم للملايين، الطبعة الثانية، 1994، بيروت.</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8 - الملاح، فاوى: سلطات الامن و الحصانات و الامتيازات الدبلوماسية، منشاة المعارف،الاسكندرية، 1981.</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9 - المنجد فى اللغة و الاعلام: دار المشرق، بيروت، 1973.</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10 - ذوالعين پرويز: حقوق ديپلماتيك، دفتر مطالعات سياسى و بين المللى، تهران، چاپ اول، 1379.</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11 - ساجدى، احمد: سازمانهاى جاسوسى دنيا، چاپ ششم، محراب قلم، 1366.</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12 - صدر، جواد: حقوق ديپلماتيك و كنسولى، چاپ سوم، انتشارات دانشگاه تهران، 1374.</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13 - كاسسه، آنتونيو: حقوق بين الملل در جهانى نامتحد، ترجمه: مرتضى كلانتريان، چاپ اول، دفتر نشر فرهنگ اسلامى، 1366.</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14 - كلييار، كلود، آلبر: نهادهاى روابط بين‏الملل، ترجمه و تحقيق: هدايت الله فلسفى، چاپ اول، نشر نو، 1368.</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lastRenderedPageBreak/>
        <w:t>15 - مجموعه قوانين، چاپ روزنامه رسمى كشور.</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16 - ميرزايى ينگجه، سعيد: ايران و صلاحيت اجبارى ديوان بين‏المللى دادگسترى، چاپ اول، دفترمطالعات سياسى و بين‏المللى، 1375.</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17 - هالستى، كى، جى: مبانى تحليل سياست بين الملل، ترجمه: بهرام مستقيمى و مسعود طارم سرى، دفتر مطالعات سياسى و بين‏المللى، چاپ اول، 1373.</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18 - (...</w:t>
      </w:r>
      <w:proofErr w:type="gramStart"/>
      <w:r>
        <w:rPr>
          <w:rFonts w:ascii="Arabic Transparent" w:hAnsi="Arabic Transparent" w:cs="Arabic Transparent"/>
        </w:rPr>
        <w:t>they</w:t>
      </w:r>
      <w:proofErr w:type="gramEnd"/>
      <w:r>
        <w:rPr>
          <w:rFonts w:ascii="Arabic Transparent" w:hAnsi="Arabic Transparent" w:cs="Arabic Transparent"/>
        </w:rPr>
        <w:t xml:space="preserve"> were not within the territory of the receiving state) </w:t>
      </w:r>
      <w:proofErr w:type="spellStart"/>
      <w:r>
        <w:rPr>
          <w:rFonts w:ascii="Arabic Transparent" w:hAnsi="Arabic Transparent" w:cs="Arabic Transparent"/>
        </w:rPr>
        <w:t>C.Fَ</w:t>
      </w:r>
      <w:proofErr w:type="spellEnd"/>
      <w:r>
        <w:rPr>
          <w:rFonts w:ascii="Arabic Transparent" w:hAnsi="Arabic Transparent" w:cs="Arabic Transparent"/>
          <w:rtl/>
        </w:rPr>
        <w:t xml:space="preserve"> </w:t>
      </w:r>
      <w:r>
        <w:rPr>
          <w:rFonts w:ascii="Arabic Transparent" w:hAnsi="Arabic Transparent" w:cs="Arabic Transparent"/>
        </w:rPr>
        <w:t xml:space="preserve">Oppenheim: International law, Vol.1 peace, </w:t>
      </w:r>
      <w:proofErr w:type="spellStart"/>
      <w:r>
        <w:rPr>
          <w:rFonts w:ascii="Arabic Transparent" w:hAnsi="Arabic Transparent" w:cs="Arabic Transparent"/>
        </w:rPr>
        <w:t>lauterpacht</w:t>
      </w:r>
      <w:proofErr w:type="spellEnd"/>
      <w:r>
        <w:rPr>
          <w:rFonts w:ascii="Arabic Transparent" w:hAnsi="Arabic Transparent" w:cs="Arabic Transparent"/>
        </w:rPr>
        <w:t>, 8th, ed. Long - mans</w:t>
      </w:r>
      <w:r>
        <w:rPr>
          <w:rFonts w:ascii="Arabic Transparent" w:hAnsi="Arabic Transparent" w:cs="Arabic Transparent"/>
          <w:rtl/>
        </w:rPr>
        <w:t xml:space="preserve">, </w:t>
      </w:r>
      <w:r>
        <w:rPr>
          <w:rFonts w:ascii="Arabic Transparent" w:hAnsi="Arabic Transparent" w:cs="Arabic Transparent"/>
        </w:rPr>
        <w:t>Green and co, London, 1995</w:t>
      </w:r>
      <w:r>
        <w:rPr>
          <w:rFonts w:ascii="Arabic Transparent" w:hAnsi="Arabic Transparent" w:cs="Arabic Transparent"/>
          <w:rtl/>
        </w:rPr>
        <w:t>.</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 xml:space="preserve">19 - </w:t>
      </w:r>
      <w:proofErr w:type="spellStart"/>
      <w:r>
        <w:rPr>
          <w:rFonts w:ascii="Arabic Transparent" w:hAnsi="Arabic Transparent" w:cs="Arabic Transparent"/>
        </w:rPr>
        <w:t>Akehurst</w:t>
      </w:r>
      <w:proofErr w:type="spellEnd"/>
      <w:r>
        <w:rPr>
          <w:rFonts w:ascii="Arabic Transparent" w:hAnsi="Arabic Transparent" w:cs="Arabic Transparent"/>
        </w:rPr>
        <w:t xml:space="preserve">, </w:t>
      </w:r>
      <w:proofErr w:type="spellStart"/>
      <w:r>
        <w:rPr>
          <w:rFonts w:ascii="Arabic Transparent" w:hAnsi="Arabic Transparent" w:cs="Arabic Transparent"/>
        </w:rPr>
        <w:t>michael</w:t>
      </w:r>
      <w:proofErr w:type="spellEnd"/>
      <w:r>
        <w:rPr>
          <w:rFonts w:ascii="Arabic Transparent" w:hAnsi="Arabic Transparent" w:cs="Arabic Transparent"/>
        </w:rPr>
        <w:t xml:space="preserve">: </w:t>
      </w:r>
      <w:proofErr w:type="spellStart"/>
      <w:r>
        <w:rPr>
          <w:rFonts w:ascii="Arabic Transparent" w:hAnsi="Arabic Transparent" w:cs="Arabic Transparent"/>
        </w:rPr>
        <w:t>Amodern</w:t>
      </w:r>
      <w:proofErr w:type="spellEnd"/>
      <w:r>
        <w:rPr>
          <w:rFonts w:ascii="Arabic Transparent" w:hAnsi="Arabic Transparent" w:cs="Arabic Transparent"/>
        </w:rPr>
        <w:t xml:space="preserve"> Introduction to International Law,6th ,</w:t>
      </w:r>
      <w:proofErr w:type="spellStart"/>
      <w:r>
        <w:rPr>
          <w:rFonts w:ascii="Arabic Transparent" w:hAnsi="Arabic Transparent" w:cs="Arabic Transparent"/>
        </w:rPr>
        <w:t>ed</w:t>
      </w:r>
      <w:proofErr w:type="spellEnd"/>
      <w:r>
        <w:rPr>
          <w:rFonts w:ascii="Arabic Transparent" w:hAnsi="Arabic Transparent" w:cs="Arabic Transparent"/>
          <w:rtl/>
        </w:rPr>
        <w:t xml:space="preserve">., </w:t>
      </w:r>
      <w:proofErr w:type="spellStart"/>
      <w:r>
        <w:rPr>
          <w:rFonts w:ascii="Arabic Transparent" w:hAnsi="Arabic Transparent" w:cs="Arabic Transparent"/>
        </w:rPr>
        <w:t>London</w:t>
      </w:r>
      <w:proofErr w:type="gramStart"/>
      <w:r>
        <w:rPr>
          <w:rFonts w:ascii="Arabic Transparent" w:hAnsi="Arabic Transparent" w:cs="Arabic Transparent"/>
        </w:rPr>
        <w:t>,unwinHyman</w:t>
      </w:r>
      <w:proofErr w:type="spellEnd"/>
      <w:proofErr w:type="gramEnd"/>
      <w:r>
        <w:rPr>
          <w:rFonts w:ascii="Arabic Transparent" w:hAnsi="Arabic Transparent" w:cs="Arabic Transparent"/>
        </w:rPr>
        <w:t>. 1988</w:t>
      </w:r>
      <w:r>
        <w:rPr>
          <w:rFonts w:ascii="Arabic Transparent" w:hAnsi="Arabic Transparent" w:cs="Arabic Transparent"/>
          <w:rtl/>
        </w:rPr>
        <w:t>.</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 xml:space="preserve">20 - </w:t>
      </w:r>
      <w:proofErr w:type="spellStart"/>
      <w:r>
        <w:rPr>
          <w:rFonts w:ascii="Arabic Transparent" w:hAnsi="Arabic Transparent" w:cs="Arabic Transparent"/>
        </w:rPr>
        <w:t>B,sen</w:t>
      </w:r>
      <w:proofErr w:type="spellEnd"/>
      <w:r>
        <w:rPr>
          <w:rFonts w:ascii="Arabic Transparent" w:hAnsi="Arabic Transparent" w:cs="Arabic Transparent"/>
        </w:rPr>
        <w:t xml:space="preserve">: Diplomats, Handbooks of international law </w:t>
      </w:r>
      <w:proofErr w:type="spellStart"/>
      <w:r>
        <w:rPr>
          <w:rFonts w:ascii="Arabic Transparent" w:hAnsi="Arabic Transparent" w:cs="Arabic Transparent"/>
        </w:rPr>
        <w:t>andpractice</w:t>
      </w:r>
      <w:proofErr w:type="spellEnd"/>
      <w:r>
        <w:rPr>
          <w:rFonts w:ascii="Arabic Transparent" w:hAnsi="Arabic Transparent" w:cs="Arabic Transparent"/>
        </w:rPr>
        <w:t xml:space="preserve">, 3, </w:t>
      </w:r>
      <w:proofErr w:type="spellStart"/>
      <w:r>
        <w:rPr>
          <w:rFonts w:ascii="Arabic Transparent" w:hAnsi="Arabic Transparent" w:cs="Arabic Transparent"/>
        </w:rPr>
        <w:t>ed</w:t>
      </w:r>
      <w:proofErr w:type="spellEnd"/>
      <w:r>
        <w:rPr>
          <w:rFonts w:ascii="Arabic Transparent" w:hAnsi="Arabic Transparent" w:cs="Arabic Transparent"/>
          <w:rtl/>
        </w:rPr>
        <w:t xml:space="preserve">, </w:t>
      </w:r>
      <w:proofErr w:type="spellStart"/>
      <w:r>
        <w:rPr>
          <w:rFonts w:ascii="Arabic Transparent" w:hAnsi="Arabic Transparent" w:cs="Arabic Transparent"/>
        </w:rPr>
        <w:t>martinus</w:t>
      </w:r>
      <w:proofErr w:type="spellEnd"/>
      <w:r>
        <w:rPr>
          <w:rFonts w:ascii="Arabic Transparent" w:hAnsi="Arabic Transparent" w:cs="Arabic Transparent"/>
        </w:rPr>
        <w:t xml:space="preserve"> -Nijhoff,1988</w:t>
      </w:r>
      <w:r>
        <w:rPr>
          <w:rFonts w:ascii="Arabic Transparent" w:hAnsi="Arabic Transparent" w:cs="Arabic Transparent"/>
          <w:rtl/>
        </w:rPr>
        <w:t>.</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 xml:space="preserve">21 - </w:t>
      </w:r>
      <w:r>
        <w:rPr>
          <w:rFonts w:ascii="Arabic Transparent" w:hAnsi="Arabic Transparent" w:cs="Arabic Transparent"/>
        </w:rPr>
        <w:t>BEN-ASHER: Human Rights meet diplomatic immunities: problems and</w:t>
      </w:r>
      <w:r>
        <w:rPr>
          <w:rFonts w:ascii="Arabic Transparent" w:hAnsi="Arabic Transparent" w:cs="Arabic Transparent"/>
          <w:rtl/>
        </w:rPr>
        <w:t xml:space="preserve"> </w:t>
      </w:r>
      <w:proofErr w:type="spellStart"/>
      <w:r>
        <w:rPr>
          <w:rFonts w:ascii="Arabic Transparent" w:hAnsi="Arabic Transparent" w:cs="Arabic Transparent"/>
        </w:rPr>
        <w:t>possiblesolutions</w:t>
      </w:r>
      <w:proofErr w:type="spellEnd"/>
      <w:r>
        <w:rPr>
          <w:rFonts w:ascii="Arabic Transparent" w:hAnsi="Arabic Transparent" w:cs="Arabic Transparent"/>
        </w:rPr>
        <w:t xml:space="preserve"> Harvard Law School, SJD Candidate, Harvard Law School; LL.M</w:t>
      </w:r>
      <w:r>
        <w:rPr>
          <w:rFonts w:ascii="Arabic Transparent" w:hAnsi="Arabic Transparent" w:cs="Arabic Transparent"/>
          <w:rtl/>
        </w:rPr>
        <w:t xml:space="preserve">., </w:t>
      </w:r>
      <w:r>
        <w:rPr>
          <w:rFonts w:ascii="Arabic Transparent" w:hAnsi="Arabic Transparent" w:cs="Arabic Transparent"/>
        </w:rPr>
        <w:t xml:space="preserve">November 2000 </w:t>
      </w:r>
      <w:proofErr w:type="spellStart"/>
      <w:r>
        <w:rPr>
          <w:rFonts w:ascii="Arabic Transparent" w:hAnsi="Arabic Transparent" w:cs="Arabic Transparent"/>
        </w:rPr>
        <w:t>M.Juris</w:t>
      </w:r>
      <w:proofErr w:type="spellEnd"/>
      <w:r>
        <w:rPr>
          <w:rFonts w:ascii="Arabic Transparent" w:hAnsi="Arabic Transparent" w:cs="Arabic Transparent"/>
        </w:rPr>
        <w:t xml:space="preserve">., </w:t>
      </w:r>
      <w:proofErr w:type="gramStart"/>
      <w:r>
        <w:rPr>
          <w:rFonts w:ascii="Arabic Transparent" w:hAnsi="Arabic Transparent" w:cs="Arabic Transparent"/>
        </w:rPr>
        <w:t>Oxford; LL.B</w:t>
      </w:r>
      <w:r>
        <w:rPr>
          <w:rFonts w:ascii="Arabic Transparent" w:hAnsi="Arabic Transparent" w:cs="Arabic Transparent"/>
          <w:rtl/>
        </w:rPr>
        <w:t>.</w:t>
      </w:r>
      <w:proofErr w:type="gramEnd"/>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 xml:space="preserve">22 - </w:t>
      </w:r>
      <w:proofErr w:type="spellStart"/>
      <w:r>
        <w:rPr>
          <w:rFonts w:ascii="Arabic Transparent" w:hAnsi="Arabic Transparent" w:cs="Arabic Transparent"/>
        </w:rPr>
        <w:t>Dembinski</w:t>
      </w:r>
      <w:proofErr w:type="spellEnd"/>
      <w:r>
        <w:rPr>
          <w:rFonts w:ascii="Arabic Transparent" w:hAnsi="Arabic Transparent" w:cs="Arabic Transparent"/>
        </w:rPr>
        <w:t xml:space="preserve">, </w:t>
      </w:r>
      <w:proofErr w:type="spellStart"/>
      <w:r>
        <w:rPr>
          <w:rFonts w:ascii="Arabic Transparent" w:hAnsi="Arabic Transparent" w:cs="Arabic Transparent"/>
        </w:rPr>
        <w:t>Ludwik</w:t>
      </w:r>
      <w:proofErr w:type="spellEnd"/>
      <w:r>
        <w:rPr>
          <w:rFonts w:ascii="Arabic Transparent" w:hAnsi="Arabic Transparent" w:cs="Arabic Transparent"/>
        </w:rPr>
        <w:t xml:space="preserve">: The modern Law of diplomacy, </w:t>
      </w:r>
      <w:proofErr w:type="spellStart"/>
      <w:r>
        <w:rPr>
          <w:rFonts w:ascii="Arabic Transparent" w:hAnsi="Arabic Transparent" w:cs="Arabic Transparent"/>
        </w:rPr>
        <w:t>martinus</w:t>
      </w:r>
      <w:proofErr w:type="spellEnd"/>
      <w:r>
        <w:rPr>
          <w:rFonts w:ascii="Arabic Transparent" w:hAnsi="Arabic Transparent" w:cs="Arabic Transparent"/>
        </w:rPr>
        <w:t xml:space="preserve">, </w:t>
      </w:r>
      <w:proofErr w:type="spellStart"/>
      <w:r>
        <w:rPr>
          <w:rFonts w:ascii="Arabic Transparent" w:hAnsi="Arabic Transparent" w:cs="Arabic Transparent"/>
        </w:rPr>
        <w:t>Nijhoff</w:t>
      </w:r>
      <w:proofErr w:type="spellEnd"/>
      <w:r>
        <w:rPr>
          <w:rFonts w:ascii="Arabic Transparent" w:hAnsi="Arabic Transparent" w:cs="Arabic Transparent"/>
          <w:rtl/>
        </w:rPr>
        <w:t xml:space="preserve">, </w:t>
      </w:r>
      <w:r>
        <w:rPr>
          <w:rFonts w:ascii="Arabic Transparent" w:hAnsi="Arabic Transparent" w:cs="Arabic Transparent"/>
        </w:rPr>
        <w:t>Netherlands, 1988</w:t>
      </w:r>
      <w:r>
        <w:rPr>
          <w:rFonts w:ascii="Arabic Transparent" w:hAnsi="Arabic Transparent" w:cs="Arabic Transparent"/>
          <w:rtl/>
        </w:rPr>
        <w:t>.</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 xml:space="preserve">23 - </w:t>
      </w:r>
      <w:proofErr w:type="spellStart"/>
      <w:r>
        <w:rPr>
          <w:rFonts w:ascii="Arabic Transparent" w:hAnsi="Arabic Transparent" w:cs="Arabic Transparent"/>
        </w:rPr>
        <w:t>Denza,Elleen</w:t>
      </w:r>
      <w:proofErr w:type="spellEnd"/>
      <w:r>
        <w:rPr>
          <w:rFonts w:ascii="Arabic Transparent" w:hAnsi="Arabic Transparent" w:cs="Arabic Transparent"/>
        </w:rPr>
        <w:t>: Diplomatic agents and missions privileges</w:t>
      </w:r>
      <w:r>
        <w:rPr>
          <w:rFonts w:ascii="Arabic Transparent" w:hAnsi="Arabic Transparent" w:cs="Arabic Transparent"/>
          <w:rtl/>
        </w:rPr>
        <w:t xml:space="preserve"> </w:t>
      </w:r>
      <w:proofErr w:type="spellStart"/>
      <w:r>
        <w:rPr>
          <w:rFonts w:ascii="Arabic Transparent" w:hAnsi="Arabic Transparent" w:cs="Arabic Transparent"/>
        </w:rPr>
        <w:t>andImmunities,IN:Encyclopedia</w:t>
      </w:r>
      <w:proofErr w:type="spellEnd"/>
      <w:r>
        <w:rPr>
          <w:rFonts w:ascii="Arabic Transparent" w:hAnsi="Arabic Transparent" w:cs="Arabic Transparent"/>
        </w:rPr>
        <w:t xml:space="preserve"> of Public International</w:t>
      </w:r>
      <w:r>
        <w:rPr>
          <w:rFonts w:ascii="Arabic Transparent" w:hAnsi="Arabic Transparent" w:cs="Arabic Transparent"/>
          <w:rtl/>
        </w:rPr>
        <w:t xml:space="preserve"> </w:t>
      </w:r>
      <w:r>
        <w:rPr>
          <w:rFonts w:ascii="Arabic Transparent" w:hAnsi="Arabic Transparent" w:cs="Arabic Transparent"/>
        </w:rPr>
        <w:t>Law,vol.9,Netherlands,1981</w:t>
      </w:r>
      <w:r>
        <w:rPr>
          <w:rFonts w:ascii="Arabic Transparent" w:hAnsi="Arabic Transparent" w:cs="Arabic Transparent"/>
          <w:rtl/>
        </w:rPr>
        <w:t>.</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 xml:space="preserve">24 - </w:t>
      </w:r>
      <w:r>
        <w:rPr>
          <w:rFonts w:ascii="Arabic Transparent" w:hAnsi="Arabic Transparent" w:cs="Arabic Transparent"/>
        </w:rPr>
        <w:t xml:space="preserve">Goldenberg, </w:t>
      </w:r>
      <w:proofErr w:type="spellStart"/>
      <w:r>
        <w:rPr>
          <w:rFonts w:ascii="Arabic Transparent" w:hAnsi="Arabic Transparent" w:cs="Arabic Transparent"/>
        </w:rPr>
        <w:t>Rina</w:t>
      </w:r>
      <w:proofErr w:type="spellEnd"/>
      <w:r>
        <w:rPr>
          <w:rFonts w:ascii="Arabic Transparent" w:hAnsi="Arabic Transparent" w:cs="Arabic Transparent"/>
        </w:rPr>
        <w:t>: Abuse of Diplomatic Immunity: Is the Government Doing</w:t>
      </w:r>
      <w:r>
        <w:rPr>
          <w:rFonts w:ascii="Arabic Transparent" w:hAnsi="Arabic Transparent" w:cs="Arabic Transparent"/>
          <w:rtl/>
        </w:rPr>
        <w:t xml:space="preserve"> </w:t>
      </w:r>
      <w:r>
        <w:rPr>
          <w:rFonts w:ascii="Arabic Transparent" w:hAnsi="Arabic Transparent" w:cs="Arabic Transparent"/>
        </w:rPr>
        <w:t xml:space="preserve">Enough? </w:t>
      </w:r>
      <w:proofErr w:type="gramStart"/>
      <w:r>
        <w:rPr>
          <w:rFonts w:ascii="Arabic Transparent" w:hAnsi="Arabic Transparent" w:cs="Arabic Transparent"/>
        </w:rPr>
        <w:t>p.1</w:t>
      </w:r>
      <w:proofErr w:type="gramEnd"/>
      <w:r>
        <w:rPr>
          <w:rFonts w:ascii="Arabic Transparent" w:hAnsi="Arabic Transparent" w:cs="Arabic Transparent"/>
        </w:rPr>
        <w:t>. available at, http://www.nsulaw.nova.edu/student/organizations/ILSA</w:t>
      </w:r>
      <w:r>
        <w:rPr>
          <w:rFonts w:ascii="Arabic Transparent" w:hAnsi="Arabic Transparent" w:cs="Arabic Transparent"/>
          <w:rtl/>
        </w:rPr>
        <w:t xml:space="preserve"> </w:t>
      </w:r>
      <w:r>
        <w:rPr>
          <w:rFonts w:ascii="Arabic Transparent" w:hAnsi="Arabic Transparent" w:cs="Arabic Transparent"/>
        </w:rPr>
        <w:t>Journal/1-1 Goldenberg (visited 23/10/ 2002</w:t>
      </w:r>
      <w:r>
        <w:rPr>
          <w:rFonts w:ascii="Arabic Transparent" w:hAnsi="Arabic Transparent" w:cs="Arabic Transparent"/>
          <w:rtl/>
        </w:rPr>
        <w:t>).</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 xml:space="preserve">25 - </w:t>
      </w:r>
      <w:r>
        <w:rPr>
          <w:rFonts w:ascii="Arabic Transparent" w:hAnsi="Arabic Transparent" w:cs="Arabic Transparent"/>
        </w:rPr>
        <w:t>International court of justice Reports of judgments, Advisory opinions</w:t>
      </w:r>
      <w:r>
        <w:rPr>
          <w:rFonts w:ascii="Arabic Transparent" w:hAnsi="Arabic Transparent" w:cs="Arabic Transparent"/>
          <w:rtl/>
        </w:rPr>
        <w:t xml:space="preserve"> </w:t>
      </w:r>
      <w:proofErr w:type="spellStart"/>
      <w:r>
        <w:rPr>
          <w:rFonts w:ascii="Arabic Transparent" w:hAnsi="Arabic Transparent" w:cs="Arabic Transparent"/>
        </w:rPr>
        <w:t>andorders</w:t>
      </w:r>
      <w:proofErr w:type="spellEnd"/>
      <w:r>
        <w:rPr>
          <w:rFonts w:ascii="Arabic Transparent" w:hAnsi="Arabic Transparent" w:cs="Arabic Transparent"/>
        </w:rPr>
        <w:t xml:space="preserve">(case concerning united states </w:t>
      </w:r>
      <w:proofErr w:type="spellStart"/>
      <w:r>
        <w:rPr>
          <w:rFonts w:ascii="Arabic Transparent" w:hAnsi="Arabic Transparent" w:cs="Arabic Transparent"/>
        </w:rPr>
        <w:t>diplomatice</w:t>
      </w:r>
      <w:proofErr w:type="spellEnd"/>
      <w:r>
        <w:rPr>
          <w:rFonts w:ascii="Arabic Transparent" w:hAnsi="Arabic Transparent" w:cs="Arabic Transparent"/>
        </w:rPr>
        <w:t xml:space="preserve"> and consular staff in </w:t>
      </w:r>
      <w:proofErr w:type="spellStart"/>
      <w:r>
        <w:rPr>
          <w:rFonts w:ascii="Arabic Transparent" w:hAnsi="Arabic Transparent" w:cs="Arabic Transparent"/>
        </w:rPr>
        <w:t>Theran</w:t>
      </w:r>
      <w:proofErr w:type="spellEnd"/>
      <w:r>
        <w:rPr>
          <w:rFonts w:ascii="Arabic Transparent" w:hAnsi="Arabic Transparent" w:cs="Arabic Transparent"/>
          <w:rtl/>
        </w:rPr>
        <w:t xml:space="preserve"> 1979 - 1980).</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 xml:space="preserve">26 - </w:t>
      </w:r>
      <w:proofErr w:type="spellStart"/>
      <w:r>
        <w:rPr>
          <w:rFonts w:ascii="Arabic Transparent" w:hAnsi="Arabic Transparent" w:cs="Arabic Transparent"/>
        </w:rPr>
        <w:t>Nascimento</w:t>
      </w:r>
      <w:proofErr w:type="spellEnd"/>
      <w:r>
        <w:rPr>
          <w:rFonts w:ascii="Arabic Transparent" w:hAnsi="Arabic Transparent" w:cs="Arabic Transparent"/>
        </w:rPr>
        <w:t xml:space="preserve">. G.E. DO. </w:t>
      </w:r>
      <w:proofErr w:type="spellStart"/>
      <w:r>
        <w:rPr>
          <w:rFonts w:ascii="Arabic Transparent" w:hAnsi="Arabic Transparent" w:cs="Arabic Transparent"/>
        </w:rPr>
        <w:t>Esilva</w:t>
      </w:r>
      <w:proofErr w:type="spellEnd"/>
      <w:r>
        <w:rPr>
          <w:rFonts w:ascii="Arabic Transparent" w:hAnsi="Arabic Transparent" w:cs="Arabic Transparent"/>
        </w:rPr>
        <w:t>: Diplomacy IN: Encyclopedia of public</w:t>
      </w:r>
      <w:r>
        <w:rPr>
          <w:rFonts w:ascii="Arabic Transparent" w:hAnsi="Arabic Transparent" w:cs="Arabic Transparent"/>
          <w:rtl/>
        </w:rPr>
        <w:t xml:space="preserve"> </w:t>
      </w:r>
      <w:r>
        <w:rPr>
          <w:rFonts w:ascii="Arabic Transparent" w:hAnsi="Arabic Transparent" w:cs="Arabic Transparent"/>
        </w:rPr>
        <w:t>Internationallaw.vol.9, Netherlands, 1981</w:t>
      </w:r>
      <w:r>
        <w:rPr>
          <w:rFonts w:ascii="Arabic Transparent" w:hAnsi="Arabic Transparent" w:cs="Arabic Transparent"/>
          <w:rtl/>
        </w:rPr>
        <w:t>.</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 xml:space="preserve">27 - </w:t>
      </w:r>
      <w:proofErr w:type="spellStart"/>
      <w:r>
        <w:rPr>
          <w:rFonts w:ascii="Arabic Transparent" w:hAnsi="Arabic Transparent" w:cs="Arabic Transparent"/>
        </w:rPr>
        <w:t>Rebecca.M.M</w:t>
      </w:r>
      <w:proofErr w:type="spellEnd"/>
      <w:r>
        <w:rPr>
          <w:rFonts w:ascii="Arabic Transparent" w:hAnsi="Arabic Transparent" w:cs="Arabic Transparent"/>
        </w:rPr>
        <w:t xml:space="preserve"> Wallace: International Law. </w:t>
      </w:r>
      <w:proofErr w:type="spellStart"/>
      <w:proofErr w:type="gramStart"/>
      <w:r>
        <w:rPr>
          <w:rFonts w:ascii="Arabic Transparent" w:hAnsi="Arabic Transparent" w:cs="Arabic Transparent"/>
        </w:rPr>
        <w:t>first,</w:t>
      </w:r>
      <w:proofErr w:type="gramEnd"/>
      <w:r>
        <w:rPr>
          <w:rFonts w:ascii="Arabic Transparent" w:hAnsi="Arabic Transparent" w:cs="Arabic Transparent"/>
        </w:rPr>
        <w:t>ed</w:t>
      </w:r>
      <w:proofErr w:type="spellEnd"/>
      <w:r>
        <w:rPr>
          <w:rFonts w:ascii="Arabic Transparent" w:hAnsi="Arabic Transparent" w:cs="Arabic Transparent"/>
        </w:rPr>
        <w:t xml:space="preserve">. London, Sweet </w:t>
      </w:r>
      <w:proofErr w:type="spellStart"/>
      <w:r>
        <w:rPr>
          <w:rFonts w:ascii="Arabic Transparent" w:hAnsi="Arabic Transparent" w:cs="Arabic Transparent"/>
        </w:rPr>
        <w:t>adn</w:t>
      </w:r>
      <w:proofErr w:type="spellEnd"/>
      <w:r>
        <w:rPr>
          <w:rFonts w:ascii="Arabic Transparent" w:hAnsi="Arabic Transparent" w:cs="Arabic Transparent"/>
          <w:rtl/>
        </w:rPr>
        <w:t xml:space="preserve"> </w:t>
      </w:r>
      <w:proofErr w:type="spellStart"/>
      <w:r>
        <w:rPr>
          <w:rFonts w:ascii="Arabic Transparent" w:hAnsi="Arabic Transparent" w:cs="Arabic Transparent"/>
        </w:rPr>
        <w:t>maxwell</w:t>
      </w:r>
      <w:proofErr w:type="spellEnd"/>
      <w:r>
        <w:rPr>
          <w:rFonts w:ascii="Arabic Transparent" w:hAnsi="Arabic Transparent" w:cs="Arabic Transparent"/>
        </w:rPr>
        <w:t>, 1986</w:t>
      </w:r>
      <w:r>
        <w:rPr>
          <w:rFonts w:ascii="Arabic Transparent" w:hAnsi="Arabic Transparent" w:cs="Arabic Transparent"/>
          <w:rtl/>
        </w:rPr>
        <w:t>.</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 xml:space="preserve">28 - </w:t>
      </w:r>
      <w:r>
        <w:rPr>
          <w:rFonts w:ascii="Arabic Transparent" w:hAnsi="Arabic Transparent" w:cs="Arabic Transparent"/>
        </w:rPr>
        <w:t>United Nations: The work of International Law Commission, united</w:t>
      </w:r>
      <w:r>
        <w:rPr>
          <w:rFonts w:ascii="Arabic Transparent" w:hAnsi="Arabic Transparent" w:cs="Arabic Transparent"/>
          <w:rtl/>
        </w:rPr>
        <w:t xml:space="preserve"> </w:t>
      </w:r>
      <w:r>
        <w:rPr>
          <w:rFonts w:ascii="Arabic Transparent" w:hAnsi="Arabic Transparent" w:cs="Arabic Transparent"/>
        </w:rPr>
        <w:t xml:space="preserve">nations, 5th. </w:t>
      </w:r>
      <w:proofErr w:type="gramStart"/>
      <w:r>
        <w:rPr>
          <w:rFonts w:ascii="Arabic Transparent" w:hAnsi="Arabic Transparent" w:cs="Arabic Transparent"/>
        </w:rPr>
        <w:t>ed</w:t>
      </w:r>
      <w:proofErr w:type="gramEnd"/>
      <w:r>
        <w:rPr>
          <w:rFonts w:ascii="Arabic Transparent" w:hAnsi="Arabic Transparent" w:cs="Arabic Transparent"/>
        </w:rPr>
        <w:t xml:space="preserve">. </w:t>
      </w:r>
      <w:proofErr w:type="spellStart"/>
      <w:r>
        <w:rPr>
          <w:rFonts w:ascii="Arabic Transparent" w:hAnsi="Arabic Transparent" w:cs="Arabic Transparent"/>
        </w:rPr>
        <w:t>Newyork</w:t>
      </w:r>
      <w:proofErr w:type="spellEnd"/>
      <w:r>
        <w:rPr>
          <w:rFonts w:ascii="Arabic Transparent" w:hAnsi="Arabic Transparent" w:cs="Arabic Transparent"/>
        </w:rPr>
        <w:t>. 1996</w:t>
      </w:r>
      <w:r>
        <w:rPr>
          <w:rFonts w:ascii="Arabic Transparent" w:hAnsi="Arabic Transparent" w:cs="Arabic Transparent"/>
          <w:rtl/>
        </w:rPr>
        <w:t>.</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lastRenderedPageBreak/>
        <w:t xml:space="preserve">29 - </w:t>
      </w:r>
      <w:r>
        <w:rPr>
          <w:rFonts w:ascii="Arabic Transparent" w:hAnsi="Arabic Transparent" w:cs="Arabic Transparent"/>
        </w:rPr>
        <w:t xml:space="preserve">United nations conference on </w:t>
      </w:r>
      <w:proofErr w:type="spellStart"/>
      <w:r>
        <w:rPr>
          <w:rFonts w:ascii="Arabic Transparent" w:hAnsi="Arabic Transparent" w:cs="Arabic Transparent"/>
        </w:rPr>
        <w:t>Diplomaic</w:t>
      </w:r>
      <w:proofErr w:type="spellEnd"/>
      <w:r>
        <w:rPr>
          <w:rFonts w:ascii="Arabic Transparent" w:hAnsi="Arabic Transparent" w:cs="Arabic Transparent"/>
        </w:rPr>
        <w:t xml:space="preserve"> intercourse and Immunities </w:t>
      </w:r>
      <w:proofErr w:type="spellStart"/>
      <w:r>
        <w:rPr>
          <w:rFonts w:ascii="Arabic Transparent" w:hAnsi="Arabic Transparent" w:cs="Arabic Transparent"/>
        </w:rPr>
        <w:t>vienna</w:t>
      </w:r>
      <w:proofErr w:type="spellEnd"/>
      <w:r>
        <w:rPr>
          <w:rFonts w:ascii="Arabic Transparent" w:hAnsi="Arabic Transparent" w:cs="Arabic Transparent"/>
          <w:rtl/>
        </w:rPr>
        <w:t xml:space="preserve"> - </w:t>
      </w:r>
      <w:r>
        <w:rPr>
          <w:rFonts w:ascii="Arabic Transparent" w:hAnsi="Arabic Transparent" w:cs="Arabic Transparent"/>
        </w:rPr>
        <w:t>march 14 April 1961 - 2Vol - Geneva - 1962</w:t>
      </w:r>
      <w:r>
        <w:rPr>
          <w:rFonts w:ascii="Arabic Transparent" w:hAnsi="Arabic Transparent" w:cs="Arabic Transparent"/>
          <w:rtl/>
        </w:rPr>
        <w:t>.</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 xml:space="preserve">30 - </w:t>
      </w:r>
      <w:r>
        <w:rPr>
          <w:rFonts w:ascii="Arabic Transparent" w:hAnsi="Arabic Transparent" w:cs="Arabic Transparent"/>
        </w:rPr>
        <w:t>Vienna Convention on the Representation of states in their Relations</w:t>
      </w:r>
      <w:r>
        <w:rPr>
          <w:rFonts w:ascii="Arabic Transparent" w:hAnsi="Arabic Transparent" w:cs="Arabic Transparent"/>
          <w:rtl/>
        </w:rPr>
        <w:t xml:space="preserve"> </w:t>
      </w:r>
      <w:r>
        <w:rPr>
          <w:rFonts w:ascii="Arabic Transparent" w:hAnsi="Arabic Transparent" w:cs="Arabic Transparent"/>
        </w:rPr>
        <w:t xml:space="preserve">with </w:t>
      </w:r>
      <w:proofErr w:type="spellStart"/>
      <w:r>
        <w:rPr>
          <w:rFonts w:ascii="Arabic Transparent" w:hAnsi="Arabic Transparent" w:cs="Arabic Transparent"/>
        </w:rPr>
        <w:t>Interenationalcharacter</w:t>
      </w:r>
      <w:proofErr w:type="spellEnd"/>
      <w:r>
        <w:rPr>
          <w:rFonts w:ascii="Arabic Transparent" w:hAnsi="Arabic Transparent" w:cs="Arabic Transparent"/>
        </w:rPr>
        <w:t>.(1975). organizations of a universal</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 xml:space="preserve">31 - </w:t>
      </w:r>
      <w:proofErr w:type="spellStart"/>
      <w:r>
        <w:rPr>
          <w:rFonts w:ascii="Arabic Transparent" w:hAnsi="Arabic Transparent" w:cs="Arabic Transparent"/>
        </w:rPr>
        <w:t>Webster,s</w:t>
      </w:r>
      <w:proofErr w:type="spellEnd"/>
      <w:r>
        <w:rPr>
          <w:rFonts w:ascii="Arabic Transparent" w:hAnsi="Arabic Transparent" w:cs="Arabic Transparent"/>
        </w:rPr>
        <w:t xml:space="preserve"> Third new international Dictionary</w:t>
      </w:r>
      <w:r>
        <w:rPr>
          <w:rFonts w:ascii="Arabic Transparent" w:hAnsi="Arabic Transparent" w:cs="Arabic Transparent"/>
          <w:rtl/>
        </w:rPr>
        <w:t>.</w:t>
      </w:r>
    </w:p>
    <w:p w:rsidR="0081689F" w:rsidRDefault="0081689F" w:rsidP="0081689F">
      <w:pPr>
        <w:bidi/>
        <w:rPr>
          <w:rFonts w:ascii="Arabic Transparent" w:hAnsi="Arabic Transparent" w:cs="Arabic Transparent"/>
          <w:rtl/>
        </w:rPr>
      </w:pPr>
    </w:p>
    <w:p w:rsidR="0081689F" w:rsidRDefault="0081689F" w:rsidP="0081689F">
      <w:pPr>
        <w:bidi/>
        <w:rPr>
          <w:rFonts w:ascii="Arabic Transparent" w:hAnsi="Arabic Transparent" w:cs="Arabic Transparent"/>
          <w:rtl/>
        </w:rPr>
      </w:pPr>
      <w:r>
        <w:rPr>
          <w:rFonts w:ascii="Arabic Transparent" w:hAnsi="Arabic Transparent" w:cs="Arabic Transparent"/>
        </w:rPr>
        <w:pict>
          <v:rect id="_x0000_i1025" style="width:140.4pt;height:1.5pt" o:hrpct="300" o:hralign="right" o:hrstd="t" o:hr="t" fillcolor="#a0a0a0" stroked="f"/>
        </w:pic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 xml:space="preserve">1 - </w:t>
      </w:r>
      <w:r>
        <w:rPr>
          <w:rFonts w:ascii="Arabic Transparent" w:hAnsi="Arabic Transparent" w:cs="Arabic Transparent"/>
        </w:rPr>
        <w:t>Abuse of diplomatic immunities and its sanction in international law</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2 ـ عضو هيأت علمى - پژوهشى دانشگاه مفيد.</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3 - ماده 41 كنوانسيون 1961، 47 كنوانسيون 1969، بند 1 ماده 77 كنوانسيون 1975.</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 xml:space="preserve">4 - ماده 22 كنوانسيون 1961، ماده 25 كنوانسيون 1969، ماده 23 كنوانسيون 1975، بخش سوم كنوانسيون 1946 مصونيتها و مزاياى سازمان ملل متحد، و بخش پنجم‏كنوانسيون 1947 مصونيتها و مزاياى سازمانهاى تخصصى ملل متحد، ماده پنج قرارداد مقرر بين امريكا و سازمان ملل، ماده 3 و 2 كنوانسيون مصونيتها و مزاياى سازمان كنفرانس اسلامى، قانون سازمانهاى بين‏المللى امريكا فصل 14 </w:t>
      </w:r>
      <w:r>
        <w:rPr>
          <w:rFonts w:ascii="Arabic Transparent" w:hAnsi="Arabic Transparent" w:cs="Arabic Transparent"/>
        </w:rPr>
        <w:t>note 9</w:t>
      </w:r>
      <w:r>
        <w:rPr>
          <w:rFonts w:ascii="Arabic Transparent" w:hAnsi="Arabic Transparent" w:cs="Arabic Transparent"/>
          <w:rtl/>
        </w:rPr>
        <w:t>.</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5 - مواد: 41 كنوانسيون 1961، 47 كنوانسيون 1969، 77كنوانسيون 1975.</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6- البته اماكن مأموريت مى‏توانند براى حفاظت با اجازه دولت پذيرنده سلاح داشته باشند.</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7 ـ ماده 29 كنوانسيون 1961، 28 كنوانسيون 1969، 28 و 58 كنوانسيون 1975.</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8 - بند 2 ماده 65 و 35 كنوانسيون 1975 ماده 36 بند 2 كنوانسيون 1961، ماده 50 (3) كنوانسيون 1969، ماده 20 (2) كنوانسيون 1989.</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9 - ماده 32 كنوانسيون 1961، ماده 41 كنوانسيون 1969، ماده 31 و 61 كنوانسيون 1975، ماده 22 طرح كنوانسيون 1989.</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10 - بـخش 14 كنوانسـيون 1946، بـخش 16 كنوانسـيون 1947 و ماده 13 كنفرانس اسلامى.</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11 - همچنين است بخش 16كنوانسيون 1947 وماده 13 كنوانسيون مصونيتها و مزاياى سازمان كنفرانس اسلامى</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 xml:space="preserve">12- سرنوشت مستشاران نظامى امريكا پس از لغو «قانون استفاده مستشاران نظامى امريكا از مصونيتها و مزاياى كنوانسيون 1961» كه در 21 مهرماه 1343 تصويب شد، نمونه‏اى از روشنى اين وضعيت است . شوراى انقلاب در سال 1358 (سه ماه پس از پيروزى انقلاب) قانون مذكور را لغو كرد. ايالات متحده در پى اين اقدام، باقيمانده نظاميان خود را به عنوان اعضاى فنى و ادارى در سفارتخانه خود در تهران منصوب مى‏كند. «سايروس ونس» وزير خارجه وقت آمريكا، سه روز پس از لغو قانون مذكور طى تلگرامى محرمانه به سفارت آمريكا در تهران مى‏نويسد:«...كليه پرسنل باقيمانده مستشارى نظامى امريكا... از طرف دولت ايالات متحده به عنوان كارمندان ادارى و فنى به سفارت ايالات متحده مأمور شده‏اند. وزارت خارجه امريكا براى اين نوع پرسنل گذرنامه‏هاى سياسى صادر مى‏نمايد و تقاضا دارد </w:t>
      </w:r>
      <w:r>
        <w:rPr>
          <w:rFonts w:ascii="Arabic Transparent" w:hAnsi="Arabic Transparent" w:cs="Arabic Transparent"/>
          <w:rtl/>
        </w:rPr>
        <w:lastRenderedPageBreak/>
        <w:t>كه وزارت خارجه ايران نيز اين پرسنل را با همان تعداد به عنوان كارمند ادارى و فنى به دولت متبوع خود معرفى نمايد.» ر.ك: اسداللهى: 8-165.</w:t>
      </w:r>
    </w:p>
    <w:p w:rsidR="0081689F" w:rsidRDefault="0081689F" w:rsidP="0081689F">
      <w:pPr>
        <w:pStyle w:val="NormalWeb"/>
        <w:rPr>
          <w:rFonts w:ascii="Arabic Transparent" w:hAnsi="Arabic Transparent" w:cs="Arabic Transparent"/>
          <w:rtl/>
        </w:rPr>
      </w:pPr>
      <w:r>
        <w:rPr>
          <w:rFonts w:ascii="Arabic Transparent" w:hAnsi="Arabic Transparent" w:cs="Arabic Transparent"/>
          <w:rtl/>
        </w:rPr>
        <w:t>13- ماده 37 كنوانسيون 1961.</w:t>
      </w:r>
    </w:p>
    <w:p w:rsidR="00B03E59" w:rsidRPr="0081689F" w:rsidRDefault="00B03E59" w:rsidP="0081689F"/>
    <w:sectPr w:rsidR="00B03E59" w:rsidRPr="0081689F" w:rsidSect="00B03E5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CB3A7F"/>
    <w:rsid w:val="00000BD5"/>
    <w:rsid w:val="0001514D"/>
    <w:rsid w:val="0003345C"/>
    <w:rsid w:val="00056411"/>
    <w:rsid w:val="00077D11"/>
    <w:rsid w:val="000A6B77"/>
    <w:rsid w:val="000C290A"/>
    <w:rsid w:val="000E14B8"/>
    <w:rsid w:val="00126240"/>
    <w:rsid w:val="00156C49"/>
    <w:rsid w:val="00160CD4"/>
    <w:rsid w:val="0017239D"/>
    <w:rsid w:val="00180DDC"/>
    <w:rsid w:val="001A1889"/>
    <w:rsid w:val="001A74B5"/>
    <w:rsid w:val="001D14F2"/>
    <w:rsid w:val="002029CD"/>
    <w:rsid w:val="00221E7D"/>
    <w:rsid w:val="002C3083"/>
    <w:rsid w:val="002D5B18"/>
    <w:rsid w:val="002D610B"/>
    <w:rsid w:val="00381A70"/>
    <w:rsid w:val="00390574"/>
    <w:rsid w:val="00392C44"/>
    <w:rsid w:val="003A7329"/>
    <w:rsid w:val="003C354A"/>
    <w:rsid w:val="003D2D96"/>
    <w:rsid w:val="003D4CEE"/>
    <w:rsid w:val="00425405"/>
    <w:rsid w:val="004753E6"/>
    <w:rsid w:val="004815CB"/>
    <w:rsid w:val="00481D8D"/>
    <w:rsid w:val="00555DCA"/>
    <w:rsid w:val="005676F5"/>
    <w:rsid w:val="005830CC"/>
    <w:rsid w:val="00591FFD"/>
    <w:rsid w:val="00685286"/>
    <w:rsid w:val="00686210"/>
    <w:rsid w:val="00692030"/>
    <w:rsid w:val="006B1E6E"/>
    <w:rsid w:val="006D670D"/>
    <w:rsid w:val="006E38C5"/>
    <w:rsid w:val="006F4E5A"/>
    <w:rsid w:val="00721B72"/>
    <w:rsid w:val="00736837"/>
    <w:rsid w:val="00782A0C"/>
    <w:rsid w:val="007F2F09"/>
    <w:rsid w:val="0081689F"/>
    <w:rsid w:val="00830131"/>
    <w:rsid w:val="0084266E"/>
    <w:rsid w:val="008D4BE6"/>
    <w:rsid w:val="00915498"/>
    <w:rsid w:val="009A29CB"/>
    <w:rsid w:val="00AD53F1"/>
    <w:rsid w:val="00AE5CD5"/>
    <w:rsid w:val="00B03E59"/>
    <w:rsid w:val="00B407CB"/>
    <w:rsid w:val="00B741BF"/>
    <w:rsid w:val="00B85A2A"/>
    <w:rsid w:val="00C04D32"/>
    <w:rsid w:val="00C25C80"/>
    <w:rsid w:val="00C30E10"/>
    <w:rsid w:val="00C3688F"/>
    <w:rsid w:val="00C64940"/>
    <w:rsid w:val="00C86EF2"/>
    <w:rsid w:val="00CB3A7F"/>
    <w:rsid w:val="00CB4536"/>
    <w:rsid w:val="00CC017B"/>
    <w:rsid w:val="00D756A6"/>
    <w:rsid w:val="00DC3A1F"/>
    <w:rsid w:val="00DF4D55"/>
    <w:rsid w:val="00E0326A"/>
    <w:rsid w:val="00E57669"/>
    <w:rsid w:val="00E84F47"/>
    <w:rsid w:val="00F437F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E59"/>
  </w:style>
  <w:style w:type="paragraph" w:styleId="Heading2">
    <w:name w:val="heading 2"/>
    <w:basedOn w:val="Normal"/>
    <w:link w:val="Heading2Char"/>
    <w:uiPriority w:val="9"/>
    <w:qFormat/>
    <w:rsid w:val="00CB3A7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B3A7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2C308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C308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B3A7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B3A7F"/>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CB3A7F"/>
    <w:rPr>
      <w:b/>
      <w:bCs/>
      <w:strike w:val="0"/>
      <w:dstrike w:val="0"/>
      <w:color w:val="0000FF"/>
      <w:sz w:val="22"/>
      <w:szCs w:val="22"/>
      <w:u w:val="none"/>
      <w:effect w:val="none"/>
    </w:rPr>
  </w:style>
  <w:style w:type="paragraph" w:styleId="NormalWeb">
    <w:name w:val="Normal (Web)"/>
    <w:basedOn w:val="Normal"/>
    <w:uiPriority w:val="99"/>
    <w:semiHidden/>
    <w:unhideWhenUsed/>
    <w:rsid w:val="00CB3A7F"/>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CB3A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A7F"/>
    <w:rPr>
      <w:rFonts w:ascii="Tahoma" w:hAnsi="Tahoma" w:cs="Tahoma"/>
      <w:sz w:val="16"/>
      <w:szCs w:val="16"/>
    </w:rPr>
  </w:style>
  <w:style w:type="character" w:customStyle="1" w:styleId="Heading4Char">
    <w:name w:val="Heading 4 Char"/>
    <w:basedOn w:val="DefaultParagraphFont"/>
    <w:link w:val="Heading4"/>
    <w:uiPriority w:val="9"/>
    <w:semiHidden/>
    <w:rsid w:val="002C308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2C3083"/>
    <w:rPr>
      <w:rFonts w:asciiTheme="majorHAnsi" w:eastAsiaTheme="majorEastAsia" w:hAnsiTheme="majorHAnsi" w:cstheme="majorBidi"/>
      <w:color w:val="243F60" w:themeColor="accent1" w:themeShade="7F"/>
    </w:rPr>
  </w:style>
  <w:style w:type="character" w:customStyle="1" w:styleId="pagecount">
    <w:name w:val="pagecount"/>
    <w:basedOn w:val="DefaultParagraphFont"/>
    <w:rsid w:val="001A1889"/>
  </w:style>
  <w:style w:type="character" w:customStyle="1" w:styleId="pageno">
    <w:name w:val="pageno"/>
    <w:basedOn w:val="DefaultParagraphFont"/>
    <w:rsid w:val="001A1889"/>
  </w:style>
  <w:style w:type="character" w:customStyle="1" w:styleId="magsimg">
    <w:name w:val="magsimg"/>
    <w:basedOn w:val="DefaultParagraphFont"/>
    <w:rsid w:val="001A1889"/>
  </w:style>
  <w:style w:type="paragraph" w:customStyle="1" w:styleId="finish">
    <w:name w:val="finish"/>
    <w:basedOn w:val="Normal"/>
    <w:rsid w:val="001A188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4521057">
      <w:bodyDiv w:val="1"/>
      <w:marLeft w:val="0"/>
      <w:marRight w:val="0"/>
      <w:marTop w:val="0"/>
      <w:marBottom w:val="0"/>
      <w:divBdr>
        <w:top w:val="none" w:sz="0" w:space="0" w:color="auto"/>
        <w:left w:val="none" w:sz="0" w:space="0" w:color="auto"/>
        <w:bottom w:val="none" w:sz="0" w:space="0" w:color="auto"/>
        <w:right w:val="none" w:sz="0" w:space="0" w:color="auto"/>
      </w:divBdr>
      <w:divsChild>
        <w:div w:id="31078374">
          <w:marLeft w:val="0"/>
          <w:marRight w:val="0"/>
          <w:marTop w:val="0"/>
          <w:marBottom w:val="0"/>
          <w:divBdr>
            <w:top w:val="none" w:sz="0" w:space="0" w:color="auto"/>
            <w:left w:val="none" w:sz="0" w:space="0" w:color="auto"/>
            <w:bottom w:val="none" w:sz="0" w:space="0" w:color="auto"/>
            <w:right w:val="none" w:sz="0" w:space="0" w:color="auto"/>
          </w:divBdr>
        </w:div>
        <w:div w:id="369840904">
          <w:marLeft w:val="0"/>
          <w:marRight w:val="0"/>
          <w:marTop w:val="0"/>
          <w:marBottom w:val="0"/>
          <w:divBdr>
            <w:top w:val="none" w:sz="0" w:space="0" w:color="auto"/>
            <w:left w:val="none" w:sz="0" w:space="0" w:color="auto"/>
            <w:bottom w:val="none" w:sz="0" w:space="0" w:color="auto"/>
            <w:right w:val="none" w:sz="0" w:space="0" w:color="auto"/>
          </w:divBdr>
        </w:div>
      </w:divsChild>
    </w:div>
    <w:div w:id="86073901">
      <w:bodyDiv w:val="1"/>
      <w:marLeft w:val="0"/>
      <w:marRight w:val="0"/>
      <w:marTop w:val="0"/>
      <w:marBottom w:val="0"/>
      <w:divBdr>
        <w:top w:val="none" w:sz="0" w:space="0" w:color="auto"/>
        <w:left w:val="none" w:sz="0" w:space="0" w:color="auto"/>
        <w:bottom w:val="none" w:sz="0" w:space="0" w:color="auto"/>
        <w:right w:val="none" w:sz="0" w:space="0" w:color="auto"/>
      </w:divBdr>
      <w:divsChild>
        <w:div w:id="6295463">
          <w:marLeft w:val="0"/>
          <w:marRight w:val="0"/>
          <w:marTop w:val="0"/>
          <w:marBottom w:val="0"/>
          <w:divBdr>
            <w:top w:val="none" w:sz="0" w:space="0" w:color="auto"/>
            <w:left w:val="none" w:sz="0" w:space="0" w:color="auto"/>
            <w:bottom w:val="none" w:sz="0" w:space="0" w:color="auto"/>
            <w:right w:val="none" w:sz="0" w:space="0" w:color="auto"/>
          </w:divBdr>
        </w:div>
        <w:div w:id="1968927285">
          <w:marLeft w:val="0"/>
          <w:marRight w:val="0"/>
          <w:marTop w:val="0"/>
          <w:marBottom w:val="0"/>
          <w:divBdr>
            <w:top w:val="none" w:sz="0" w:space="0" w:color="auto"/>
            <w:left w:val="none" w:sz="0" w:space="0" w:color="auto"/>
            <w:bottom w:val="none" w:sz="0" w:space="0" w:color="auto"/>
            <w:right w:val="none" w:sz="0" w:space="0" w:color="auto"/>
          </w:divBdr>
        </w:div>
      </w:divsChild>
    </w:div>
    <w:div w:id="98529192">
      <w:bodyDiv w:val="1"/>
      <w:marLeft w:val="0"/>
      <w:marRight w:val="0"/>
      <w:marTop w:val="0"/>
      <w:marBottom w:val="0"/>
      <w:divBdr>
        <w:top w:val="none" w:sz="0" w:space="0" w:color="auto"/>
        <w:left w:val="none" w:sz="0" w:space="0" w:color="auto"/>
        <w:bottom w:val="none" w:sz="0" w:space="0" w:color="auto"/>
        <w:right w:val="none" w:sz="0" w:space="0" w:color="auto"/>
      </w:divBdr>
      <w:divsChild>
        <w:div w:id="1383287460">
          <w:marLeft w:val="0"/>
          <w:marRight w:val="0"/>
          <w:marTop w:val="0"/>
          <w:marBottom w:val="0"/>
          <w:divBdr>
            <w:top w:val="none" w:sz="0" w:space="0" w:color="auto"/>
            <w:left w:val="none" w:sz="0" w:space="0" w:color="auto"/>
            <w:bottom w:val="none" w:sz="0" w:space="0" w:color="auto"/>
            <w:right w:val="none" w:sz="0" w:space="0" w:color="auto"/>
          </w:divBdr>
        </w:div>
        <w:div w:id="281309859">
          <w:marLeft w:val="0"/>
          <w:marRight w:val="0"/>
          <w:marTop w:val="0"/>
          <w:marBottom w:val="0"/>
          <w:divBdr>
            <w:top w:val="none" w:sz="0" w:space="0" w:color="auto"/>
            <w:left w:val="none" w:sz="0" w:space="0" w:color="auto"/>
            <w:bottom w:val="none" w:sz="0" w:space="0" w:color="auto"/>
            <w:right w:val="none" w:sz="0" w:space="0" w:color="auto"/>
          </w:divBdr>
        </w:div>
      </w:divsChild>
    </w:div>
    <w:div w:id="161748984">
      <w:bodyDiv w:val="1"/>
      <w:marLeft w:val="0"/>
      <w:marRight w:val="0"/>
      <w:marTop w:val="0"/>
      <w:marBottom w:val="0"/>
      <w:divBdr>
        <w:top w:val="none" w:sz="0" w:space="0" w:color="auto"/>
        <w:left w:val="none" w:sz="0" w:space="0" w:color="auto"/>
        <w:bottom w:val="none" w:sz="0" w:space="0" w:color="auto"/>
        <w:right w:val="none" w:sz="0" w:space="0" w:color="auto"/>
      </w:divBdr>
      <w:divsChild>
        <w:div w:id="410782587">
          <w:marLeft w:val="0"/>
          <w:marRight w:val="0"/>
          <w:marTop w:val="0"/>
          <w:marBottom w:val="0"/>
          <w:divBdr>
            <w:top w:val="none" w:sz="0" w:space="0" w:color="auto"/>
            <w:left w:val="none" w:sz="0" w:space="0" w:color="auto"/>
            <w:bottom w:val="none" w:sz="0" w:space="0" w:color="auto"/>
            <w:right w:val="none" w:sz="0" w:space="0" w:color="auto"/>
          </w:divBdr>
        </w:div>
        <w:div w:id="1832333752">
          <w:marLeft w:val="0"/>
          <w:marRight w:val="0"/>
          <w:marTop w:val="0"/>
          <w:marBottom w:val="0"/>
          <w:divBdr>
            <w:top w:val="none" w:sz="0" w:space="0" w:color="auto"/>
            <w:left w:val="none" w:sz="0" w:space="0" w:color="auto"/>
            <w:bottom w:val="none" w:sz="0" w:space="0" w:color="auto"/>
            <w:right w:val="none" w:sz="0" w:space="0" w:color="auto"/>
          </w:divBdr>
        </w:div>
      </w:divsChild>
    </w:div>
    <w:div w:id="230625732">
      <w:bodyDiv w:val="1"/>
      <w:marLeft w:val="0"/>
      <w:marRight w:val="0"/>
      <w:marTop w:val="0"/>
      <w:marBottom w:val="0"/>
      <w:divBdr>
        <w:top w:val="none" w:sz="0" w:space="0" w:color="auto"/>
        <w:left w:val="none" w:sz="0" w:space="0" w:color="auto"/>
        <w:bottom w:val="none" w:sz="0" w:space="0" w:color="auto"/>
        <w:right w:val="none" w:sz="0" w:space="0" w:color="auto"/>
      </w:divBdr>
      <w:divsChild>
        <w:div w:id="2046248700">
          <w:marLeft w:val="0"/>
          <w:marRight w:val="0"/>
          <w:marTop w:val="0"/>
          <w:marBottom w:val="0"/>
          <w:divBdr>
            <w:top w:val="none" w:sz="0" w:space="0" w:color="auto"/>
            <w:left w:val="none" w:sz="0" w:space="0" w:color="auto"/>
            <w:bottom w:val="none" w:sz="0" w:space="0" w:color="auto"/>
            <w:right w:val="none" w:sz="0" w:space="0" w:color="auto"/>
          </w:divBdr>
        </w:div>
        <w:div w:id="1448043200">
          <w:marLeft w:val="0"/>
          <w:marRight w:val="0"/>
          <w:marTop w:val="0"/>
          <w:marBottom w:val="0"/>
          <w:divBdr>
            <w:top w:val="none" w:sz="0" w:space="0" w:color="auto"/>
            <w:left w:val="none" w:sz="0" w:space="0" w:color="auto"/>
            <w:bottom w:val="none" w:sz="0" w:space="0" w:color="auto"/>
            <w:right w:val="none" w:sz="0" w:space="0" w:color="auto"/>
          </w:divBdr>
        </w:div>
      </w:divsChild>
    </w:div>
    <w:div w:id="233666068">
      <w:bodyDiv w:val="1"/>
      <w:marLeft w:val="0"/>
      <w:marRight w:val="0"/>
      <w:marTop w:val="0"/>
      <w:marBottom w:val="0"/>
      <w:divBdr>
        <w:top w:val="none" w:sz="0" w:space="0" w:color="auto"/>
        <w:left w:val="none" w:sz="0" w:space="0" w:color="auto"/>
        <w:bottom w:val="none" w:sz="0" w:space="0" w:color="auto"/>
        <w:right w:val="none" w:sz="0" w:space="0" w:color="auto"/>
      </w:divBdr>
      <w:divsChild>
        <w:div w:id="1645886843">
          <w:marLeft w:val="0"/>
          <w:marRight w:val="0"/>
          <w:marTop w:val="0"/>
          <w:marBottom w:val="0"/>
          <w:divBdr>
            <w:top w:val="none" w:sz="0" w:space="0" w:color="auto"/>
            <w:left w:val="none" w:sz="0" w:space="0" w:color="auto"/>
            <w:bottom w:val="none" w:sz="0" w:space="0" w:color="auto"/>
            <w:right w:val="none" w:sz="0" w:space="0" w:color="auto"/>
          </w:divBdr>
        </w:div>
        <w:div w:id="653528325">
          <w:marLeft w:val="0"/>
          <w:marRight w:val="0"/>
          <w:marTop w:val="0"/>
          <w:marBottom w:val="0"/>
          <w:divBdr>
            <w:top w:val="none" w:sz="0" w:space="0" w:color="auto"/>
            <w:left w:val="none" w:sz="0" w:space="0" w:color="auto"/>
            <w:bottom w:val="none" w:sz="0" w:space="0" w:color="auto"/>
            <w:right w:val="none" w:sz="0" w:space="0" w:color="auto"/>
          </w:divBdr>
        </w:div>
      </w:divsChild>
    </w:div>
    <w:div w:id="248008130">
      <w:bodyDiv w:val="1"/>
      <w:marLeft w:val="0"/>
      <w:marRight w:val="0"/>
      <w:marTop w:val="0"/>
      <w:marBottom w:val="0"/>
      <w:divBdr>
        <w:top w:val="none" w:sz="0" w:space="0" w:color="auto"/>
        <w:left w:val="none" w:sz="0" w:space="0" w:color="auto"/>
        <w:bottom w:val="none" w:sz="0" w:space="0" w:color="auto"/>
        <w:right w:val="none" w:sz="0" w:space="0" w:color="auto"/>
      </w:divBdr>
      <w:divsChild>
        <w:div w:id="992218393">
          <w:marLeft w:val="0"/>
          <w:marRight w:val="0"/>
          <w:marTop w:val="0"/>
          <w:marBottom w:val="0"/>
          <w:divBdr>
            <w:top w:val="none" w:sz="0" w:space="0" w:color="auto"/>
            <w:left w:val="none" w:sz="0" w:space="0" w:color="auto"/>
            <w:bottom w:val="none" w:sz="0" w:space="0" w:color="auto"/>
            <w:right w:val="none" w:sz="0" w:space="0" w:color="auto"/>
          </w:divBdr>
        </w:div>
        <w:div w:id="2084797299">
          <w:marLeft w:val="0"/>
          <w:marRight w:val="0"/>
          <w:marTop w:val="0"/>
          <w:marBottom w:val="0"/>
          <w:divBdr>
            <w:top w:val="none" w:sz="0" w:space="0" w:color="auto"/>
            <w:left w:val="none" w:sz="0" w:space="0" w:color="auto"/>
            <w:bottom w:val="none" w:sz="0" w:space="0" w:color="auto"/>
            <w:right w:val="none" w:sz="0" w:space="0" w:color="auto"/>
          </w:divBdr>
        </w:div>
      </w:divsChild>
    </w:div>
    <w:div w:id="253247901">
      <w:bodyDiv w:val="1"/>
      <w:marLeft w:val="0"/>
      <w:marRight w:val="0"/>
      <w:marTop w:val="0"/>
      <w:marBottom w:val="0"/>
      <w:divBdr>
        <w:top w:val="none" w:sz="0" w:space="0" w:color="auto"/>
        <w:left w:val="none" w:sz="0" w:space="0" w:color="auto"/>
        <w:bottom w:val="none" w:sz="0" w:space="0" w:color="auto"/>
        <w:right w:val="none" w:sz="0" w:space="0" w:color="auto"/>
      </w:divBdr>
      <w:divsChild>
        <w:div w:id="561062451">
          <w:marLeft w:val="0"/>
          <w:marRight w:val="0"/>
          <w:marTop w:val="0"/>
          <w:marBottom w:val="0"/>
          <w:divBdr>
            <w:top w:val="none" w:sz="0" w:space="0" w:color="auto"/>
            <w:left w:val="none" w:sz="0" w:space="0" w:color="auto"/>
            <w:bottom w:val="none" w:sz="0" w:space="0" w:color="auto"/>
            <w:right w:val="none" w:sz="0" w:space="0" w:color="auto"/>
          </w:divBdr>
        </w:div>
        <w:div w:id="2138913276">
          <w:marLeft w:val="0"/>
          <w:marRight w:val="0"/>
          <w:marTop w:val="0"/>
          <w:marBottom w:val="0"/>
          <w:divBdr>
            <w:top w:val="none" w:sz="0" w:space="0" w:color="auto"/>
            <w:left w:val="none" w:sz="0" w:space="0" w:color="auto"/>
            <w:bottom w:val="none" w:sz="0" w:space="0" w:color="auto"/>
            <w:right w:val="none" w:sz="0" w:space="0" w:color="auto"/>
          </w:divBdr>
        </w:div>
      </w:divsChild>
    </w:div>
    <w:div w:id="293607688">
      <w:bodyDiv w:val="1"/>
      <w:marLeft w:val="0"/>
      <w:marRight w:val="0"/>
      <w:marTop w:val="0"/>
      <w:marBottom w:val="0"/>
      <w:divBdr>
        <w:top w:val="none" w:sz="0" w:space="0" w:color="auto"/>
        <w:left w:val="none" w:sz="0" w:space="0" w:color="auto"/>
        <w:bottom w:val="none" w:sz="0" w:space="0" w:color="auto"/>
        <w:right w:val="none" w:sz="0" w:space="0" w:color="auto"/>
      </w:divBdr>
      <w:divsChild>
        <w:div w:id="318047694">
          <w:marLeft w:val="0"/>
          <w:marRight w:val="0"/>
          <w:marTop w:val="0"/>
          <w:marBottom w:val="0"/>
          <w:divBdr>
            <w:top w:val="none" w:sz="0" w:space="0" w:color="auto"/>
            <w:left w:val="none" w:sz="0" w:space="0" w:color="auto"/>
            <w:bottom w:val="none" w:sz="0" w:space="0" w:color="auto"/>
            <w:right w:val="none" w:sz="0" w:space="0" w:color="auto"/>
          </w:divBdr>
        </w:div>
        <w:div w:id="766580398">
          <w:marLeft w:val="0"/>
          <w:marRight w:val="0"/>
          <w:marTop w:val="0"/>
          <w:marBottom w:val="0"/>
          <w:divBdr>
            <w:top w:val="none" w:sz="0" w:space="0" w:color="auto"/>
            <w:left w:val="none" w:sz="0" w:space="0" w:color="auto"/>
            <w:bottom w:val="none" w:sz="0" w:space="0" w:color="auto"/>
            <w:right w:val="none" w:sz="0" w:space="0" w:color="auto"/>
          </w:divBdr>
        </w:div>
      </w:divsChild>
    </w:div>
    <w:div w:id="303779290">
      <w:bodyDiv w:val="1"/>
      <w:marLeft w:val="0"/>
      <w:marRight w:val="0"/>
      <w:marTop w:val="0"/>
      <w:marBottom w:val="0"/>
      <w:divBdr>
        <w:top w:val="none" w:sz="0" w:space="0" w:color="auto"/>
        <w:left w:val="none" w:sz="0" w:space="0" w:color="auto"/>
        <w:bottom w:val="none" w:sz="0" w:space="0" w:color="auto"/>
        <w:right w:val="none" w:sz="0" w:space="0" w:color="auto"/>
      </w:divBdr>
      <w:divsChild>
        <w:div w:id="1339038835">
          <w:marLeft w:val="0"/>
          <w:marRight w:val="0"/>
          <w:marTop w:val="0"/>
          <w:marBottom w:val="0"/>
          <w:divBdr>
            <w:top w:val="none" w:sz="0" w:space="0" w:color="auto"/>
            <w:left w:val="none" w:sz="0" w:space="0" w:color="auto"/>
            <w:bottom w:val="none" w:sz="0" w:space="0" w:color="auto"/>
            <w:right w:val="none" w:sz="0" w:space="0" w:color="auto"/>
          </w:divBdr>
        </w:div>
        <w:div w:id="1922056547">
          <w:marLeft w:val="0"/>
          <w:marRight w:val="0"/>
          <w:marTop w:val="0"/>
          <w:marBottom w:val="0"/>
          <w:divBdr>
            <w:top w:val="none" w:sz="0" w:space="0" w:color="auto"/>
            <w:left w:val="none" w:sz="0" w:space="0" w:color="auto"/>
            <w:bottom w:val="none" w:sz="0" w:space="0" w:color="auto"/>
            <w:right w:val="none" w:sz="0" w:space="0" w:color="auto"/>
          </w:divBdr>
        </w:div>
      </w:divsChild>
    </w:div>
    <w:div w:id="344553144">
      <w:bodyDiv w:val="1"/>
      <w:marLeft w:val="0"/>
      <w:marRight w:val="0"/>
      <w:marTop w:val="0"/>
      <w:marBottom w:val="0"/>
      <w:divBdr>
        <w:top w:val="none" w:sz="0" w:space="0" w:color="auto"/>
        <w:left w:val="none" w:sz="0" w:space="0" w:color="auto"/>
        <w:bottom w:val="none" w:sz="0" w:space="0" w:color="auto"/>
        <w:right w:val="none" w:sz="0" w:space="0" w:color="auto"/>
      </w:divBdr>
      <w:divsChild>
        <w:div w:id="1380397145">
          <w:marLeft w:val="0"/>
          <w:marRight w:val="0"/>
          <w:marTop w:val="0"/>
          <w:marBottom w:val="0"/>
          <w:divBdr>
            <w:top w:val="none" w:sz="0" w:space="0" w:color="auto"/>
            <w:left w:val="none" w:sz="0" w:space="0" w:color="auto"/>
            <w:bottom w:val="none" w:sz="0" w:space="0" w:color="auto"/>
            <w:right w:val="none" w:sz="0" w:space="0" w:color="auto"/>
          </w:divBdr>
        </w:div>
        <w:div w:id="1333337394">
          <w:marLeft w:val="0"/>
          <w:marRight w:val="0"/>
          <w:marTop w:val="0"/>
          <w:marBottom w:val="0"/>
          <w:divBdr>
            <w:top w:val="none" w:sz="0" w:space="0" w:color="auto"/>
            <w:left w:val="none" w:sz="0" w:space="0" w:color="auto"/>
            <w:bottom w:val="none" w:sz="0" w:space="0" w:color="auto"/>
            <w:right w:val="none" w:sz="0" w:space="0" w:color="auto"/>
          </w:divBdr>
        </w:div>
      </w:divsChild>
    </w:div>
    <w:div w:id="375859849">
      <w:bodyDiv w:val="1"/>
      <w:marLeft w:val="0"/>
      <w:marRight w:val="0"/>
      <w:marTop w:val="0"/>
      <w:marBottom w:val="0"/>
      <w:divBdr>
        <w:top w:val="none" w:sz="0" w:space="0" w:color="auto"/>
        <w:left w:val="none" w:sz="0" w:space="0" w:color="auto"/>
        <w:bottom w:val="none" w:sz="0" w:space="0" w:color="auto"/>
        <w:right w:val="none" w:sz="0" w:space="0" w:color="auto"/>
      </w:divBdr>
      <w:divsChild>
        <w:div w:id="186871166">
          <w:marLeft w:val="0"/>
          <w:marRight w:val="0"/>
          <w:marTop w:val="0"/>
          <w:marBottom w:val="0"/>
          <w:divBdr>
            <w:top w:val="none" w:sz="0" w:space="0" w:color="auto"/>
            <w:left w:val="none" w:sz="0" w:space="0" w:color="auto"/>
            <w:bottom w:val="none" w:sz="0" w:space="0" w:color="auto"/>
            <w:right w:val="none" w:sz="0" w:space="0" w:color="auto"/>
          </w:divBdr>
        </w:div>
        <w:div w:id="812060423">
          <w:marLeft w:val="0"/>
          <w:marRight w:val="0"/>
          <w:marTop w:val="0"/>
          <w:marBottom w:val="0"/>
          <w:divBdr>
            <w:top w:val="none" w:sz="0" w:space="0" w:color="auto"/>
            <w:left w:val="none" w:sz="0" w:space="0" w:color="auto"/>
            <w:bottom w:val="none" w:sz="0" w:space="0" w:color="auto"/>
            <w:right w:val="none" w:sz="0" w:space="0" w:color="auto"/>
          </w:divBdr>
        </w:div>
      </w:divsChild>
    </w:div>
    <w:div w:id="383455849">
      <w:bodyDiv w:val="1"/>
      <w:marLeft w:val="0"/>
      <w:marRight w:val="0"/>
      <w:marTop w:val="0"/>
      <w:marBottom w:val="0"/>
      <w:divBdr>
        <w:top w:val="none" w:sz="0" w:space="0" w:color="auto"/>
        <w:left w:val="none" w:sz="0" w:space="0" w:color="auto"/>
        <w:bottom w:val="none" w:sz="0" w:space="0" w:color="auto"/>
        <w:right w:val="none" w:sz="0" w:space="0" w:color="auto"/>
      </w:divBdr>
      <w:divsChild>
        <w:div w:id="1908803458">
          <w:marLeft w:val="0"/>
          <w:marRight w:val="0"/>
          <w:marTop w:val="0"/>
          <w:marBottom w:val="0"/>
          <w:divBdr>
            <w:top w:val="none" w:sz="0" w:space="0" w:color="auto"/>
            <w:left w:val="none" w:sz="0" w:space="0" w:color="auto"/>
            <w:bottom w:val="none" w:sz="0" w:space="0" w:color="auto"/>
            <w:right w:val="none" w:sz="0" w:space="0" w:color="auto"/>
          </w:divBdr>
        </w:div>
        <w:div w:id="421222573">
          <w:marLeft w:val="0"/>
          <w:marRight w:val="0"/>
          <w:marTop w:val="0"/>
          <w:marBottom w:val="0"/>
          <w:divBdr>
            <w:top w:val="none" w:sz="0" w:space="0" w:color="auto"/>
            <w:left w:val="none" w:sz="0" w:space="0" w:color="auto"/>
            <w:bottom w:val="none" w:sz="0" w:space="0" w:color="auto"/>
            <w:right w:val="none" w:sz="0" w:space="0" w:color="auto"/>
          </w:divBdr>
        </w:div>
      </w:divsChild>
    </w:div>
    <w:div w:id="384763254">
      <w:bodyDiv w:val="1"/>
      <w:marLeft w:val="0"/>
      <w:marRight w:val="0"/>
      <w:marTop w:val="0"/>
      <w:marBottom w:val="0"/>
      <w:divBdr>
        <w:top w:val="none" w:sz="0" w:space="0" w:color="auto"/>
        <w:left w:val="none" w:sz="0" w:space="0" w:color="auto"/>
        <w:bottom w:val="none" w:sz="0" w:space="0" w:color="auto"/>
        <w:right w:val="none" w:sz="0" w:space="0" w:color="auto"/>
      </w:divBdr>
      <w:divsChild>
        <w:div w:id="673801826">
          <w:marLeft w:val="0"/>
          <w:marRight w:val="0"/>
          <w:marTop w:val="0"/>
          <w:marBottom w:val="0"/>
          <w:divBdr>
            <w:top w:val="none" w:sz="0" w:space="0" w:color="auto"/>
            <w:left w:val="none" w:sz="0" w:space="0" w:color="auto"/>
            <w:bottom w:val="none" w:sz="0" w:space="0" w:color="auto"/>
            <w:right w:val="none" w:sz="0" w:space="0" w:color="auto"/>
          </w:divBdr>
        </w:div>
        <w:div w:id="1396272983">
          <w:marLeft w:val="0"/>
          <w:marRight w:val="0"/>
          <w:marTop w:val="0"/>
          <w:marBottom w:val="0"/>
          <w:divBdr>
            <w:top w:val="none" w:sz="0" w:space="0" w:color="auto"/>
            <w:left w:val="none" w:sz="0" w:space="0" w:color="auto"/>
            <w:bottom w:val="none" w:sz="0" w:space="0" w:color="auto"/>
            <w:right w:val="none" w:sz="0" w:space="0" w:color="auto"/>
          </w:divBdr>
        </w:div>
      </w:divsChild>
    </w:div>
    <w:div w:id="391388530">
      <w:bodyDiv w:val="1"/>
      <w:marLeft w:val="0"/>
      <w:marRight w:val="0"/>
      <w:marTop w:val="0"/>
      <w:marBottom w:val="0"/>
      <w:divBdr>
        <w:top w:val="none" w:sz="0" w:space="0" w:color="auto"/>
        <w:left w:val="none" w:sz="0" w:space="0" w:color="auto"/>
        <w:bottom w:val="none" w:sz="0" w:space="0" w:color="auto"/>
        <w:right w:val="none" w:sz="0" w:space="0" w:color="auto"/>
      </w:divBdr>
      <w:divsChild>
        <w:div w:id="1645159101">
          <w:marLeft w:val="0"/>
          <w:marRight w:val="0"/>
          <w:marTop w:val="0"/>
          <w:marBottom w:val="0"/>
          <w:divBdr>
            <w:top w:val="none" w:sz="0" w:space="0" w:color="auto"/>
            <w:left w:val="none" w:sz="0" w:space="0" w:color="auto"/>
            <w:bottom w:val="none" w:sz="0" w:space="0" w:color="auto"/>
            <w:right w:val="none" w:sz="0" w:space="0" w:color="auto"/>
          </w:divBdr>
        </w:div>
        <w:div w:id="950863993">
          <w:marLeft w:val="0"/>
          <w:marRight w:val="0"/>
          <w:marTop w:val="0"/>
          <w:marBottom w:val="0"/>
          <w:divBdr>
            <w:top w:val="none" w:sz="0" w:space="0" w:color="auto"/>
            <w:left w:val="none" w:sz="0" w:space="0" w:color="auto"/>
            <w:bottom w:val="none" w:sz="0" w:space="0" w:color="auto"/>
            <w:right w:val="none" w:sz="0" w:space="0" w:color="auto"/>
          </w:divBdr>
        </w:div>
      </w:divsChild>
    </w:div>
    <w:div w:id="394668770">
      <w:bodyDiv w:val="1"/>
      <w:marLeft w:val="0"/>
      <w:marRight w:val="0"/>
      <w:marTop w:val="0"/>
      <w:marBottom w:val="0"/>
      <w:divBdr>
        <w:top w:val="none" w:sz="0" w:space="0" w:color="auto"/>
        <w:left w:val="none" w:sz="0" w:space="0" w:color="auto"/>
        <w:bottom w:val="none" w:sz="0" w:space="0" w:color="auto"/>
        <w:right w:val="none" w:sz="0" w:space="0" w:color="auto"/>
      </w:divBdr>
      <w:divsChild>
        <w:div w:id="198671324">
          <w:marLeft w:val="0"/>
          <w:marRight w:val="0"/>
          <w:marTop w:val="0"/>
          <w:marBottom w:val="0"/>
          <w:divBdr>
            <w:top w:val="none" w:sz="0" w:space="0" w:color="auto"/>
            <w:left w:val="none" w:sz="0" w:space="0" w:color="auto"/>
            <w:bottom w:val="none" w:sz="0" w:space="0" w:color="auto"/>
            <w:right w:val="none" w:sz="0" w:space="0" w:color="auto"/>
          </w:divBdr>
        </w:div>
        <w:div w:id="1503199753">
          <w:marLeft w:val="0"/>
          <w:marRight w:val="0"/>
          <w:marTop w:val="0"/>
          <w:marBottom w:val="0"/>
          <w:divBdr>
            <w:top w:val="none" w:sz="0" w:space="0" w:color="auto"/>
            <w:left w:val="none" w:sz="0" w:space="0" w:color="auto"/>
            <w:bottom w:val="none" w:sz="0" w:space="0" w:color="auto"/>
            <w:right w:val="none" w:sz="0" w:space="0" w:color="auto"/>
          </w:divBdr>
        </w:div>
      </w:divsChild>
    </w:div>
    <w:div w:id="395511889">
      <w:bodyDiv w:val="1"/>
      <w:marLeft w:val="0"/>
      <w:marRight w:val="0"/>
      <w:marTop w:val="0"/>
      <w:marBottom w:val="0"/>
      <w:divBdr>
        <w:top w:val="none" w:sz="0" w:space="0" w:color="auto"/>
        <w:left w:val="none" w:sz="0" w:space="0" w:color="auto"/>
        <w:bottom w:val="none" w:sz="0" w:space="0" w:color="auto"/>
        <w:right w:val="none" w:sz="0" w:space="0" w:color="auto"/>
      </w:divBdr>
      <w:divsChild>
        <w:div w:id="1300576294">
          <w:marLeft w:val="0"/>
          <w:marRight w:val="0"/>
          <w:marTop w:val="0"/>
          <w:marBottom w:val="0"/>
          <w:divBdr>
            <w:top w:val="none" w:sz="0" w:space="0" w:color="auto"/>
            <w:left w:val="none" w:sz="0" w:space="0" w:color="auto"/>
            <w:bottom w:val="none" w:sz="0" w:space="0" w:color="auto"/>
            <w:right w:val="none" w:sz="0" w:space="0" w:color="auto"/>
          </w:divBdr>
        </w:div>
        <w:div w:id="701975481">
          <w:marLeft w:val="0"/>
          <w:marRight w:val="0"/>
          <w:marTop w:val="0"/>
          <w:marBottom w:val="0"/>
          <w:divBdr>
            <w:top w:val="none" w:sz="0" w:space="0" w:color="auto"/>
            <w:left w:val="none" w:sz="0" w:space="0" w:color="auto"/>
            <w:bottom w:val="none" w:sz="0" w:space="0" w:color="auto"/>
            <w:right w:val="none" w:sz="0" w:space="0" w:color="auto"/>
          </w:divBdr>
        </w:div>
      </w:divsChild>
    </w:div>
    <w:div w:id="457340650">
      <w:bodyDiv w:val="1"/>
      <w:marLeft w:val="0"/>
      <w:marRight w:val="0"/>
      <w:marTop w:val="0"/>
      <w:marBottom w:val="0"/>
      <w:divBdr>
        <w:top w:val="none" w:sz="0" w:space="0" w:color="auto"/>
        <w:left w:val="none" w:sz="0" w:space="0" w:color="auto"/>
        <w:bottom w:val="none" w:sz="0" w:space="0" w:color="auto"/>
        <w:right w:val="none" w:sz="0" w:space="0" w:color="auto"/>
      </w:divBdr>
      <w:divsChild>
        <w:div w:id="601568804">
          <w:marLeft w:val="0"/>
          <w:marRight w:val="0"/>
          <w:marTop w:val="0"/>
          <w:marBottom w:val="0"/>
          <w:divBdr>
            <w:top w:val="none" w:sz="0" w:space="0" w:color="auto"/>
            <w:left w:val="none" w:sz="0" w:space="0" w:color="auto"/>
            <w:bottom w:val="none" w:sz="0" w:space="0" w:color="auto"/>
            <w:right w:val="none" w:sz="0" w:space="0" w:color="auto"/>
          </w:divBdr>
        </w:div>
        <w:div w:id="735203101">
          <w:marLeft w:val="0"/>
          <w:marRight w:val="0"/>
          <w:marTop w:val="0"/>
          <w:marBottom w:val="0"/>
          <w:divBdr>
            <w:top w:val="none" w:sz="0" w:space="0" w:color="auto"/>
            <w:left w:val="none" w:sz="0" w:space="0" w:color="auto"/>
            <w:bottom w:val="none" w:sz="0" w:space="0" w:color="auto"/>
            <w:right w:val="none" w:sz="0" w:space="0" w:color="auto"/>
          </w:divBdr>
        </w:div>
      </w:divsChild>
    </w:div>
    <w:div w:id="476534925">
      <w:bodyDiv w:val="1"/>
      <w:marLeft w:val="0"/>
      <w:marRight w:val="0"/>
      <w:marTop w:val="0"/>
      <w:marBottom w:val="0"/>
      <w:divBdr>
        <w:top w:val="none" w:sz="0" w:space="0" w:color="auto"/>
        <w:left w:val="none" w:sz="0" w:space="0" w:color="auto"/>
        <w:bottom w:val="none" w:sz="0" w:space="0" w:color="auto"/>
        <w:right w:val="none" w:sz="0" w:space="0" w:color="auto"/>
      </w:divBdr>
      <w:divsChild>
        <w:div w:id="2054323">
          <w:marLeft w:val="0"/>
          <w:marRight w:val="0"/>
          <w:marTop w:val="0"/>
          <w:marBottom w:val="0"/>
          <w:divBdr>
            <w:top w:val="none" w:sz="0" w:space="0" w:color="auto"/>
            <w:left w:val="none" w:sz="0" w:space="0" w:color="auto"/>
            <w:bottom w:val="none" w:sz="0" w:space="0" w:color="auto"/>
            <w:right w:val="none" w:sz="0" w:space="0" w:color="auto"/>
          </w:divBdr>
        </w:div>
        <w:div w:id="1550679933">
          <w:marLeft w:val="0"/>
          <w:marRight w:val="0"/>
          <w:marTop w:val="0"/>
          <w:marBottom w:val="0"/>
          <w:divBdr>
            <w:top w:val="none" w:sz="0" w:space="0" w:color="auto"/>
            <w:left w:val="none" w:sz="0" w:space="0" w:color="auto"/>
            <w:bottom w:val="none" w:sz="0" w:space="0" w:color="auto"/>
            <w:right w:val="none" w:sz="0" w:space="0" w:color="auto"/>
          </w:divBdr>
        </w:div>
      </w:divsChild>
    </w:div>
    <w:div w:id="500855723">
      <w:bodyDiv w:val="1"/>
      <w:marLeft w:val="0"/>
      <w:marRight w:val="0"/>
      <w:marTop w:val="0"/>
      <w:marBottom w:val="0"/>
      <w:divBdr>
        <w:top w:val="none" w:sz="0" w:space="0" w:color="auto"/>
        <w:left w:val="none" w:sz="0" w:space="0" w:color="auto"/>
        <w:bottom w:val="none" w:sz="0" w:space="0" w:color="auto"/>
        <w:right w:val="none" w:sz="0" w:space="0" w:color="auto"/>
      </w:divBdr>
      <w:divsChild>
        <w:div w:id="1477525600">
          <w:marLeft w:val="0"/>
          <w:marRight w:val="0"/>
          <w:marTop w:val="0"/>
          <w:marBottom w:val="0"/>
          <w:divBdr>
            <w:top w:val="none" w:sz="0" w:space="0" w:color="auto"/>
            <w:left w:val="none" w:sz="0" w:space="0" w:color="auto"/>
            <w:bottom w:val="none" w:sz="0" w:space="0" w:color="auto"/>
            <w:right w:val="none" w:sz="0" w:space="0" w:color="auto"/>
          </w:divBdr>
        </w:div>
        <w:div w:id="720590708">
          <w:marLeft w:val="0"/>
          <w:marRight w:val="0"/>
          <w:marTop w:val="0"/>
          <w:marBottom w:val="0"/>
          <w:divBdr>
            <w:top w:val="none" w:sz="0" w:space="0" w:color="auto"/>
            <w:left w:val="none" w:sz="0" w:space="0" w:color="auto"/>
            <w:bottom w:val="none" w:sz="0" w:space="0" w:color="auto"/>
            <w:right w:val="none" w:sz="0" w:space="0" w:color="auto"/>
          </w:divBdr>
        </w:div>
      </w:divsChild>
    </w:div>
    <w:div w:id="532885152">
      <w:bodyDiv w:val="1"/>
      <w:marLeft w:val="0"/>
      <w:marRight w:val="0"/>
      <w:marTop w:val="0"/>
      <w:marBottom w:val="0"/>
      <w:divBdr>
        <w:top w:val="none" w:sz="0" w:space="0" w:color="auto"/>
        <w:left w:val="none" w:sz="0" w:space="0" w:color="auto"/>
        <w:bottom w:val="none" w:sz="0" w:space="0" w:color="auto"/>
        <w:right w:val="none" w:sz="0" w:space="0" w:color="auto"/>
      </w:divBdr>
      <w:divsChild>
        <w:div w:id="443499148">
          <w:marLeft w:val="0"/>
          <w:marRight w:val="0"/>
          <w:marTop w:val="0"/>
          <w:marBottom w:val="0"/>
          <w:divBdr>
            <w:top w:val="none" w:sz="0" w:space="0" w:color="auto"/>
            <w:left w:val="none" w:sz="0" w:space="0" w:color="auto"/>
            <w:bottom w:val="none" w:sz="0" w:space="0" w:color="auto"/>
            <w:right w:val="none" w:sz="0" w:space="0" w:color="auto"/>
          </w:divBdr>
        </w:div>
        <w:div w:id="34887230">
          <w:marLeft w:val="0"/>
          <w:marRight w:val="0"/>
          <w:marTop w:val="0"/>
          <w:marBottom w:val="0"/>
          <w:divBdr>
            <w:top w:val="none" w:sz="0" w:space="0" w:color="auto"/>
            <w:left w:val="none" w:sz="0" w:space="0" w:color="auto"/>
            <w:bottom w:val="none" w:sz="0" w:space="0" w:color="auto"/>
            <w:right w:val="none" w:sz="0" w:space="0" w:color="auto"/>
          </w:divBdr>
        </w:div>
      </w:divsChild>
    </w:div>
    <w:div w:id="555241904">
      <w:bodyDiv w:val="1"/>
      <w:marLeft w:val="0"/>
      <w:marRight w:val="0"/>
      <w:marTop w:val="0"/>
      <w:marBottom w:val="0"/>
      <w:divBdr>
        <w:top w:val="none" w:sz="0" w:space="0" w:color="auto"/>
        <w:left w:val="none" w:sz="0" w:space="0" w:color="auto"/>
        <w:bottom w:val="none" w:sz="0" w:space="0" w:color="auto"/>
        <w:right w:val="none" w:sz="0" w:space="0" w:color="auto"/>
      </w:divBdr>
      <w:divsChild>
        <w:div w:id="349726782">
          <w:marLeft w:val="0"/>
          <w:marRight w:val="0"/>
          <w:marTop w:val="0"/>
          <w:marBottom w:val="0"/>
          <w:divBdr>
            <w:top w:val="none" w:sz="0" w:space="0" w:color="auto"/>
            <w:left w:val="none" w:sz="0" w:space="0" w:color="auto"/>
            <w:bottom w:val="none" w:sz="0" w:space="0" w:color="auto"/>
            <w:right w:val="none" w:sz="0" w:space="0" w:color="auto"/>
          </w:divBdr>
        </w:div>
        <w:div w:id="662588245">
          <w:marLeft w:val="0"/>
          <w:marRight w:val="0"/>
          <w:marTop w:val="0"/>
          <w:marBottom w:val="0"/>
          <w:divBdr>
            <w:top w:val="none" w:sz="0" w:space="0" w:color="auto"/>
            <w:left w:val="none" w:sz="0" w:space="0" w:color="auto"/>
            <w:bottom w:val="none" w:sz="0" w:space="0" w:color="auto"/>
            <w:right w:val="none" w:sz="0" w:space="0" w:color="auto"/>
          </w:divBdr>
        </w:div>
      </w:divsChild>
    </w:div>
    <w:div w:id="556475705">
      <w:bodyDiv w:val="1"/>
      <w:marLeft w:val="0"/>
      <w:marRight w:val="0"/>
      <w:marTop w:val="0"/>
      <w:marBottom w:val="0"/>
      <w:divBdr>
        <w:top w:val="none" w:sz="0" w:space="0" w:color="auto"/>
        <w:left w:val="none" w:sz="0" w:space="0" w:color="auto"/>
        <w:bottom w:val="none" w:sz="0" w:space="0" w:color="auto"/>
        <w:right w:val="none" w:sz="0" w:space="0" w:color="auto"/>
      </w:divBdr>
      <w:divsChild>
        <w:div w:id="455415863">
          <w:marLeft w:val="0"/>
          <w:marRight w:val="0"/>
          <w:marTop w:val="0"/>
          <w:marBottom w:val="0"/>
          <w:divBdr>
            <w:top w:val="none" w:sz="0" w:space="0" w:color="auto"/>
            <w:left w:val="none" w:sz="0" w:space="0" w:color="auto"/>
            <w:bottom w:val="none" w:sz="0" w:space="0" w:color="auto"/>
            <w:right w:val="none" w:sz="0" w:space="0" w:color="auto"/>
          </w:divBdr>
        </w:div>
        <w:div w:id="1982540760">
          <w:marLeft w:val="0"/>
          <w:marRight w:val="0"/>
          <w:marTop w:val="0"/>
          <w:marBottom w:val="0"/>
          <w:divBdr>
            <w:top w:val="none" w:sz="0" w:space="0" w:color="auto"/>
            <w:left w:val="none" w:sz="0" w:space="0" w:color="auto"/>
            <w:bottom w:val="none" w:sz="0" w:space="0" w:color="auto"/>
            <w:right w:val="none" w:sz="0" w:space="0" w:color="auto"/>
          </w:divBdr>
        </w:div>
      </w:divsChild>
    </w:div>
    <w:div w:id="577132460">
      <w:bodyDiv w:val="1"/>
      <w:marLeft w:val="0"/>
      <w:marRight w:val="0"/>
      <w:marTop w:val="0"/>
      <w:marBottom w:val="0"/>
      <w:divBdr>
        <w:top w:val="none" w:sz="0" w:space="0" w:color="auto"/>
        <w:left w:val="none" w:sz="0" w:space="0" w:color="auto"/>
        <w:bottom w:val="none" w:sz="0" w:space="0" w:color="auto"/>
        <w:right w:val="none" w:sz="0" w:space="0" w:color="auto"/>
      </w:divBdr>
      <w:divsChild>
        <w:div w:id="196240034">
          <w:marLeft w:val="0"/>
          <w:marRight w:val="0"/>
          <w:marTop w:val="0"/>
          <w:marBottom w:val="0"/>
          <w:divBdr>
            <w:top w:val="none" w:sz="0" w:space="0" w:color="auto"/>
            <w:left w:val="none" w:sz="0" w:space="0" w:color="auto"/>
            <w:bottom w:val="none" w:sz="0" w:space="0" w:color="auto"/>
            <w:right w:val="none" w:sz="0" w:space="0" w:color="auto"/>
          </w:divBdr>
        </w:div>
        <w:div w:id="1935892628">
          <w:marLeft w:val="0"/>
          <w:marRight w:val="0"/>
          <w:marTop w:val="0"/>
          <w:marBottom w:val="0"/>
          <w:divBdr>
            <w:top w:val="none" w:sz="0" w:space="0" w:color="auto"/>
            <w:left w:val="none" w:sz="0" w:space="0" w:color="auto"/>
            <w:bottom w:val="none" w:sz="0" w:space="0" w:color="auto"/>
            <w:right w:val="none" w:sz="0" w:space="0" w:color="auto"/>
          </w:divBdr>
        </w:div>
      </w:divsChild>
    </w:div>
    <w:div w:id="587034296">
      <w:bodyDiv w:val="1"/>
      <w:marLeft w:val="0"/>
      <w:marRight w:val="0"/>
      <w:marTop w:val="0"/>
      <w:marBottom w:val="0"/>
      <w:divBdr>
        <w:top w:val="none" w:sz="0" w:space="0" w:color="auto"/>
        <w:left w:val="none" w:sz="0" w:space="0" w:color="auto"/>
        <w:bottom w:val="none" w:sz="0" w:space="0" w:color="auto"/>
        <w:right w:val="none" w:sz="0" w:space="0" w:color="auto"/>
      </w:divBdr>
      <w:divsChild>
        <w:div w:id="563639734">
          <w:marLeft w:val="0"/>
          <w:marRight w:val="0"/>
          <w:marTop w:val="0"/>
          <w:marBottom w:val="0"/>
          <w:divBdr>
            <w:top w:val="none" w:sz="0" w:space="0" w:color="auto"/>
            <w:left w:val="none" w:sz="0" w:space="0" w:color="auto"/>
            <w:bottom w:val="none" w:sz="0" w:space="0" w:color="auto"/>
            <w:right w:val="none" w:sz="0" w:space="0" w:color="auto"/>
          </w:divBdr>
        </w:div>
        <w:div w:id="1950892291">
          <w:marLeft w:val="0"/>
          <w:marRight w:val="0"/>
          <w:marTop w:val="0"/>
          <w:marBottom w:val="0"/>
          <w:divBdr>
            <w:top w:val="none" w:sz="0" w:space="0" w:color="auto"/>
            <w:left w:val="none" w:sz="0" w:space="0" w:color="auto"/>
            <w:bottom w:val="none" w:sz="0" w:space="0" w:color="auto"/>
            <w:right w:val="none" w:sz="0" w:space="0" w:color="auto"/>
          </w:divBdr>
        </w:div>
      </w:divsChild>
    </w:div>
    <w:div w:id="592935199">
      <w:bodyDiv w:val="1"/>
      <w:marLeft w:val="0"/>
      <w:marRight w:val="0"/>
      <w:marTop w:val="0"/>
      <w:marBottom w:val="0"/>
      <w:divBdr>
        <w:top w:val="none" w:sz="0" w:space="0" w:color="auto"/>
        <w:left w:val="none" w:sz="0" w:space="0" w:color="auto"/>
        <w:bottom w:val="none" w:sz="0" w:space="0" w:color="auto"/>
        <w:right w:val="none" w:sz="0" w:space="0" w:color="auto"/>
      </w:divBdr>
      <w:divsChild>
        <w:div w:id="628901456">
          <w:marLeft w:val="0"/>
          <w:marRight w:val="0"/>
          <w:marTop w:val="0"/>
          <w:marBottom w:val="0"/>
          <w:divBdr>
            <w:top w:val="none" w:sz="0" w:space="0" w:color="auto"/>
            <w:left w:val="none" w:sz="0" w:space="0" w:color="auto"/>
            <w:bottom w:val="none" w:sz="0" w:space="0" w:color="auto"/>
            <w:right w:val="none" w:sz="0" w:space="0" w:color="auto"/>
          </w:divBdr>
        </w:div>
        <w:div w:id="417942154">
          <w:marLeft w:val="0"/>
          <w:marRight w:val="0"/>
          <w:marTop w:val="0"/>
          <w:marBottom w:val="0"/>
          <w:divBdr>
            <w:top w:val="none" w:sz="0" w:space="0" w:color="auto"/>
            <w:left w:val="none" w:sz="0" w:space="0" w:color="auto"/>
            <w:bottom w:val="none" w:sz="0" w:space="0" w:color="auto"/>
            <w:right w:val="none" w:sz="0" w:space="0" w:color="auto"/>
          </w:divBdr>
        </w:div>
      </w:divsChild>
    </w:div>
    <w:div w:id="594939652">
      <w:bodyDiv w:val="1"/>
      <w:marLeft w:val="0"/>
      <w:marRight w:val="0"/>
      <w:marTop w:val="0"/>
      <w:marBottom w:val="0"/>
      <w:divBdr>
        <w:top w:val="none" w:sz="0" w:space="0" w:color="auto"/>
        <w:left w:val="none" w:sz="0" w:space="0" w:color="auto"/>
        <w:bottom w:val="none" w:sz="0" w:space="0" w:color="auto"/>
        <w:right w:val="none" w:sz="0" w:space="0" w:color="auto"/>
      </w:divBdr>
      <w:divsChild>
        <w:div w:id="404766003">
          <w:marLeft w:val="0"/>
          <w:marRight w:val="0"/>
          <w:marTop w:val="0"/>
          <w:marBottom w:val="0"/>
          <w:divBdr>
            <w:top w:val="none" w:sz="0" w:space="0" w:color="auto"/>
            <w:left w:val="none" w:sz="0" w:space="0" w:color="auto"/>
            <w:bottom w:val="none" w:sz="0" w:space="0" w:color="auto"/>
            <w:right w:val="none" w:sz="0" w:space="0" w:color="auto"/>
          </w:divBdr>
        </w:div>
        <w:div w:id="1734934545">
          <w:marLeft w:val="0"/>
          <w:marRight w:val="0"/>
          <w:marTop w:val="0"/>
          <w:marBottom w:val="0"/>
          <w:divBdr>
            <w:top w:val="none" w:sz="0" w:space="0" w:color="auto"/>
            <w:left w:val="none" w:sz="0" w:space="0" w:color="auto"/>
            <w:bottom w:val="none" w:sz="0" w:space="0" w:color="auto"/>
            <w:right w:val="none" w:sz="0" w:space="0" w:color="auto"/>
          </w:divBdr>
        </w:div>
      </w:divsChild>
    </w:div>
    <w:div w:id="635381441">
      <w:bodyDiv w:val="1"/>
      <w:marLeft w:val="0"/>
      <w:marRight w:val="0"/>
      <w:marTop w:val="0"/>
      <w:marBottom w:val="0"/>
      <w:divBdr>
        <w:top w:val="none" w:sz="0" w:space="0" w:color="auto"/>
        <w:left w:val="none" w:sz="0" w:space="0" w:color="auto"/>
        <w:bottom w:val="none" w:sz="0" w:space="0" w:color="auto"/>
        <w:right w:val="none" w:sz="0" w:space="0" w:color="auto"/>
      </w:divBdr>
      <w:divsChild>
        <w:div w:id="737480137">
          <w:marLeft w:val="0"/>
          <w:marRight w:val="0"/>
          <w:marTop w:val="0"/>
          <w:marBottom w:val="0"/>
          <w:divBdr>
            <w:top w:val="none" w:sz="0" w:space="0" w:color="auto"/>
            <w:left w:val="none" w:sz="0" w:space="0" w:color="auto"/>
            <w:bottom w:val="none" w:sz="0" w:space="0" w:color="auto"/>
            <w:right w:val="none" w:sz="0" w:space="0" w:color="auto"/>
          </w:divBdr>
        </w:div>
        <w:div w:id="1374421977">
          <w:marLeft w:val="0"/>
          <w:marRight w:val="0"/>
          <w:marTop w:val="0"/>
          <w:marBottom w:val="0"/>
          <w:divBdr>
            <w:top w:val="none" w:sz="0" w:space="0" w:color="auto"/>
            <w:left w:val="none" w:sz="0" w:space="0" w:color="auto"/>
            <w:bottom w:val="none" w:sz="0" w:space="0" w:color="auto"/>
            <w:right w:val="none" w:sz="0" w:space="0" w:color="auto"/>
          </w:divBdr>
        </w:div>
      </w:divsChild>
    </w:div>
    <w:div w:id="661198155">
      <w:bodyDiv w:val="1"/>
      <w:marLeft w:val="0"/>
      <w:marRight w:val="0"/>
      <w:marTop w:val="0"/>
      <w:marBottom w:val="0"/>
      <w:divBdr>
        <w:top w:val="none" w:sz="0" w:space="0" w:color="auto"/>
        <w:left w:val="none" w:sz="0" w:space="0" w:color="auto"/>
        <w:bottom w:val="none" w:sz="0" w:space="0" w:color="auto"/>
        <w:right w:val="none" w:sz="0" w:space="0" w:color="auto"/>
      </w:divBdr>
      <w:divsChild>
        <w:div w:id="554776422">
          <w:marLeft w:val="0"/>
          <w:marRight w:val="0"/>
          <w:marTop w:val="0"/>
          <w:marBottom w:val="0"/>
          <w:divBdr>
            <w:top w:val="none" w:sz="0" w:space="0" w:color="auto"/>
            <w:left w:val="none" w:sz="0" w:space="0" w:color="auto"/>
            <w:bottom w:val="none" w:sz="0" w:space="0" w:color="auto"/>
            <w:right w:val="none" w:sz="0" w:space="0" w:color="auto"/>
          </w:divBdr>
        </w:div>
        <w:div w:id="1245601593">
          <w:marLeft w:val="0"/>
          <w:marRight w:val="0"/>
          <w:marTop w:val="0"/>
          <w:marBottom w:val="0"/>
          <w:divBdr>
            <w:top w:val="none" w:sz="0" w:space="0" w:color="auto"/>
            <w:left w:val="none" w:sz="0" w:space="0" w:color="auto"/>
            <w:bottom w:val="none" w:sz="0" w:space="0" w:color="auto"/>
            <w:right w:val="none" w:sz="0" w:space="0" w:color="auto"/>
          </w:divBdr>
        </w:div>
      </w:divsChild>
    </w:div>
    <w:div w:id="663708500">
      <w:bodyDiv w:val="1"/>
      <w:marLeft w:val="0"/>
      <w:marRight w:val="0"/>
      <w:marTop w:val="0"/>
      <w:marBottom w:val="0"/>
      <w:divBdr>
        <w:top w:val="none" w:sz="0" w:space="0" w:color="auto"/>
        <w:left w:val="none" w:sz="0" w:space="0" w:color="auto"/>
        <w:bottom w:val="none" w:sz="0" w:space="0" w:color="auto"/>
        <w:right w:val="none" w:sz="0" w:space="0" w:color="auto"/>
      </w:divBdr>
      <w:divsChild>
        <w:div w:id="1724138843">
          <w:marLeft w:val="0"/>
          <w:marRight w:val="0"/>
          <w:marTop w:val="0"/>
          <w:marBottom w:val="0"/>
          <w:divBdr>
            <w:top w:val="none" w:sz="0" w:space="0" w:color="auto"/>
            <w:left w:val="none" w:sz="0" w:space="0" w:color="auto"/>
            <w:bottom w:val="none" w:sz="0" w:space="0" w:color="auto"/>
            <w:right w:val="none" w:sz="0" w:space="0" w:color="auto"/>
          </w:divBdr>
        </w:div>
        <w:div w:id="1341154352">
          <w:marLeft w:val="0"/>
          <w:marRight w:val="0"/>
          <w:marTop w:val="0"/>
          <w:marBottom w:val="0"/>
          <w:divBdr>
            <w:top w:val="none" w:sz="0" w:space="0" w:color="auto"/>
            <w:left w:val="none" w:sz="0" w:space="0" w:color="auto"/>
            <w:bottom w:val="none" w:sz="0" w:space="0" w:color="auto"/>
            <w:right w:val="none" w:sz="0" w:space="0" w:color="auto"/>
          </w:divBdr>
        </w:div>
      </w:divsChild>
    </w:div>
    <w:div w:id="743377884">
      <w:bodyDiv w:val="1"/>
      <w:marLeft w:val="0"/>
      <w:marRight w:val="0"/>
      <w:marTop w:val="0"/>
      <w:marBottom w:val="0"/>
      <w:divBdr>
        <w:top w:val="none" w:sz="0" w:space="0" w:color="auto"/>
        <w:left w:val="none" w:sz="0" w:space="0" w:color="auto"/>
        <w:bottom w:val="none" w:sz="0" w:space="0" w:color="auto"/>
        <w:right w:val="none" w:sz="0" w:space="0" w:color="auto"/>
      </w:divBdr>
      <w:divsChild>
        <w:div w:id="1158114849">
          <w:marLeft w:val="0"/>
          <w:marRight w:val="0"/>
          <w:marTop w:val="0"/>
          <w:marBottom w:val="0"/>
          <w:divBdr>
            <w:top w:val="none" w:sz="0" w:space="0" w:color="auto"/>
            <w:left w:val="none" w:sz="0" w:space="0" w:color="auto"/>
            <w:bottom w:val="none" w:sz="0" w:space="0" w:color="auto"/>
            <w:right w:val="none" w:sz="0" w:space="0" w:color="auto"/>
          </w:divBdr>
        </w:div>
        <w:div w:id="87312924">
          <w:marLeft w:val="0"/>
          <w:marRight w:val="0"/>
          <w:marTop w:val="0"/>
          <w:marBottom w:val="0"/>
          <w:divBdr>
            <w:top w:val="none" w:sz="0" w:space="0" w:color="auto"/>
            <w:left w:val="none" w:sz="0" w:space="0" w:color="auto"/>
            <w:bottom w:val="none" w:sz="0" w:space="0" w:color="auto"/>
            <w:right w:val="none" w:sz="0" w:space="0" w:color="auto"/>
          </w:divBdr>
        </w:div>
      </w:divsChild>
    </w:div>
    <w:div w:id="789937030">
      <w:bodyDiv w:val="1"/>
      <w:marLeft w:val="0"/>
      <w:marRight w:val="0"/>
      <w:marTop w:val="0"/>
      <w:marBottom w:val="0"/>
      <w:divBdr>
        <w:top w:val="none" w:sz="0" w:space="0" w:color="auto"/>
        <w:left w:val="none" w:sz="0" w:space="0" w:color="auto"/>
        <w:bottom w:val="none" w:sz="0" w:space="0" w:color="auto"/>
        <w:right w:val="none" w:sz="0" w:space="0" w:color="auto"/>
      </w:divBdr>
      <w:divsChild>
        <w:div w:id="1423145450">
          <w:marLeft w:val="0"/>
          <w:marRight w:val="0"/>
          <w:marTop w:val="0"/>
          <w:marBottom w:val="0"/>
          <w:divBdr>
            <w:top w:val="none" w:sz="0" w:space="0" w:color="auto"/>
            <w:left w:val="none" w:sz="0" w:space="0" w:color="auto"/>
            <w:bottom w:val="none" w:sz="0" w:space="0" w:color="auto"/>
            <w:right w:val="none" w:sz="0" w:space="0" w:color="auto"/>
          </w:divBdr>
        </w:div>
        <w:div w:id="641009155">
          <w:marLeft w:val="0"/>
          <w:marRight w:val="0"/>
          <w:marTop w:val="0"/>
          <w:marBottom w:val="0"/>
          <w:divBdr>
            <w:top w:val="none" w:sz="0" w:space="0" w:color="auto"/>
            <w:left w:val="none" w:sz="0" w:space="0" w:color="auto"/>
            <w:bottom w:val="none" w:sz="0" w:space="0" w:color="auto"/>
            <w:right w:val="none" w:sz="0" w:space="0" w:color="auto"/>
          </w:divBdr>
        </w:div>
      </w:divsChild>
    </w:div>
    <w:div w:id="798647732">
      <w:bodyDiv w:val="1"/>
      <w:marLeft w:val="0"/>
      <w:marRight w:val="0"/>
      <w:marTop w:val="0"/>
      <w:marBottom w:val="0"/>
      <w:divBdr>
        <w:top w:val="none" w:sz="0" w:space="0" w:color="auto"/>
        <w:left w:val="none" w:sz="0" w:space="0" w:color="auto"/>
        <w:bottom w:val="none" w:sz="0" w:space="0" w:color="auto"/>
        <w:right w:val="none" w:sz="0" w:space="0" w:color="auto"/>
      </w:divBdr>
      <w:divsChild>
        <w:div w:id="1401320800">
          <w:marLeft w:val="0"/>
          <w:marRight w:val="0"/>
          <w:marTop w:val="0"/>
          <w:marBottom w:val="0"/>
          <w:divBdr>
            <w:top w:val="none" w:sz="0" w:space="0" w:color="auto"/>
            <w:left w:val="none" w:sz="0" w:space="0" w:color="auto"/>
            <w:bottom w:val="none" w:sz="0" w:space="0" w:color="auto"/>
            <w:right w:val="none" w:sz="0" w:space="0" w:color="auto"/>
          </w:divBdr>
        </w:div>
        <w:div w:id="167136776">
          <w:marLeft w:val="0"/>
          <w:marRight w:val="0"/>
          <w:marTop w:val="0"/>
          <w:marBottom w:val="0"/>
          <w:divBdr>
            <w:top w:val="none" w:sz="0" w:space="0" w:color="auto"/>
            <w:left w:val="none" w:sz="0" w:space="0" w:color="auto"/>
            <w:bottom w:val="none" w:sz="0" w:space="0" w:color="auto"/>
            <w:right w:val="none" w:sz="0" w:space="0" w:color="auto"/>
          </w:divBdr>
        </w:div>
      </w:divsChild>
    </w:div>
    <w:div w:id="832182664">
      <w:bodyDiv w:val="1"/>
      <w:marLeft w:val="0"/>
      <w:marRight w:val="0"/>
      <w:marTop w:val="0"/>
      <w:marBottom w:val="0"/>
      <w:divBdr>
        <w:top w:val="none" w:sz="0" w:space="0" w:color="auto"/>
        <w:left w:val="none" w:sz="0" w:space="0" w:color="auto"/>
        <w:bottom w:val="none" w:sz="0" w:space="0" w:color="auto"/>
        <w:right w:val="none" w:sz="0" w:space="0" w:color="auto"/>
      </w:divBdr>
      <w:divsChild>
        <w:div w:id="43650165">
          <w:marLeft w:val="0"/>
          <w:marRight w:val="0"/>
          <w:marTop w:val="0"/>
          <w:marBottom w:val="0"/>
          <w:divBdr>
            <w:top w:val="none" w:sz="0" w:space="0" w:color="auto"/>
            <w:left w:val="none" w:sz="0" w:space="0" w:color="auto"/>
            <w:bottom w:val="none" w:sz="0" w:space="0" w:color="auto"/>
            <w:right w:val="none" w:sz="0" w:space="0" w:color="auto"/>
          </w:divBdr>
        </w:div>
        <w:div w:id="1833372574">
          <w:marLeft w:val="0"/>
          <w:marRight w:val="0"/>
          <w:marTop w:val="0"/>
          <w:marBottom w:val="0"/>
          <w:divBdr>
            <w:top w:val="none" w:sz="0" w:space="0" w:color="auto"/>
            <w:left w:val="none" w:sz="0" w:space="0" w:color="auto"/>
            <w:bottom w:val="none" w:sz="0" w:space="0" w:color="auto"/>
            <w:right w:val="none" w:sz="0" w:space="0" w:color="auto"/>
          </w:divBdr>
        </w:div>
      </w:divsChild>
    </w:div>
    <w:div w:id="839926534">
      <w:bodyDiv w:val="1"/>
      <w:marLeft w:val="0"/>
      <w:marRight w:val="0"/>
      <w:marTop w:val="0"/>
      <w:marBottom w:val="0"/>
      <w:divBdr>
        <w:top w:val="none" w:sz="0" w:space="0" w:color="auto"/>
        <w:left w:val="none" w:sz="0" w:space="0" w:color="auto"/>
        <w:bottom w:val="none" w:sz="0" w:space="0" w:color="auto"/>
        <w:right w:val="none" w:sz="0" w:space="0" w:color="auto"/>
      </w:divBdr>
      <w:divsChild>
        <w:div w:id="345911468">
          <w:marLeft w:val="0"/>
          <w:marRight w:val="0"/>
          <w:marTop w:val="0"/>
          <w:marBottom w:val="0"/>
          <w:divBdr>
            <w:top w:val="none" w:sz="0" w:space="0" w:color="auto"/>
            <w:left w:val="none" w:sz="0" w:space="0" w:color="auto"/>
            <w:bottom w:val="none" w:sz="0" w:space="0" w:color="auto"/>
            <w:right w:val="none" w:sz="0" w:space="0" w:color="auto"/>
          </w:divBdr>
        </w:div>
        <w:div w:id="1557475032">
          <w:marLeft w:val="0"/>
          <w:marRight w:val="0"/>
          <w:marTop w:val="0"/>
          <w:marBottom w:val="0"/>
          <w:divBdr>
            <w:top w:val="none" w:sz="0" w:space="0" w:color="auto"/>
            <w:left w:val="none" w:sz="0" w:space="0" w:color="auto"/>
            <w:bottom w:val="none" w:sz="0" w:space="0" w:color="auto"/>
            <w:right w:val="none" w:sz="0" w:space="0" w:color="auto"/>
          </w:divBdr>
        </w:div>
      </w:divsChild>
    </w:div>
    <w:div w:id="921908257">
      <w:bodyDiv w:val="1"/>
      <w:marLeft w:val="0"/>
      <w:marRight w:val="0"/>
      <w:marTop w:val="0"/>
      <w:marBottom w:val="0"/>
      <w:divBdr>
        <w:top w:val="none" w:sz="0" w:space="0" w:color="auto"/>
        <w:left w:val="none" w:sz="0" w:space="0" w:color="auto"/>
        <w:bottom w:val="none" w:sz="0" w:space="0" w:color="auto"/>
        <w:right w:val="none" w:sz="0" w:space="0" w:color="auto"/>
      </w:divBdr>
      <w:divsChild>
        <w:div w:id="90207918">
          <w:marLeft w:val="0"/>
          <w:marRight w:val="0"/>
          <w:marTop w:val="0"/>
          <w:marBottom w:val="0"/>
          <w:divBdr>
            <w:top w:val="none" w:sz="0" w:space="0" w:color="auto"/>
            <w:left w:val="none" w:sz="0" w:space="0" w:color="auto"/>
            <w:bottom w:val="none" w:sz="0" w:space="0" w:color="auto"/>
            <w:right w:val="none" w:sz="0" w:space="0" w:color="auto"/>
          </w:divBdr>
        </w:div>
        <w:div w:id="786849697">
          <w:marLeft w:val="0"/>
          <w:marRight w:val="0"/>
          <w:marTop w:val="0"/>
          <w:marBottom w:val="0"/>
          <w:divBdr>
            <w:top w:val="none" w:sz="0" w:space="0" w:color="auto"/>
            <w:left w:val="none" w:sz="0" w:space="0" w:color="auto"/>
            <w:bottom w:val="none" w:sz="0" w:space="0" w:color="auto"/>
            <w:right w:val="none" w:sz="0" w:space="0" w:color="auto"/>
          </w:divBdr>
        </w:div>
      </w:divsChild>
    </w:div>
    <w:div w:id="925696642">
      <w:bodyDiv w:val="1"/>
      <w:marLeft w:val="0"/>
      <w:marRight w:val="0"/>
      <w:marTop w:val="0"/>
      <w:marBottom w:val="0"/>
      <w:divBdr>
        <w:top w:val="none" w:sz="0" w:space="0" w:color="auto"/>
        <w:left w:val="none" w:sz="0" w:space="0" w:color="auto"/>
        <w:bottom w:val="none" w:sz="0" w:space="0" w:color="auto"/>
        <w:right w:val="none" w:sz="0" w:space="0" w:color="auto"/>
      </w:divBdr>
      <w:divsChild>
        <w:div w:id="909197930">
          <w:marLeft w:val="0"/>
          <w:marRight w:val="0"/>
          <w:marTop w:val="0"/>
          <w:marBottom w:val="0"/>
          <w:divBdr>
            <w:top w:val="none" w:sz="0" w:space="0" w:color="auto"/>
            <w:left w:val="none" w:sz="0" w:space="0" w:color="auto"/>
            <w:bottom w:val="none" w:sz="0" w:space="0" w:color="auto"/>
            <w:right w:val="none" w:sz="0" w:space="0" w:color="auto"/>
          </w:divBdr>
        </w:div>
        <w:div w:id="1863470664">
          <w:marLeft w:val="0"/>
          <w:marRight w:val="0"/>
          <w:marTop w:val="0"/>
          <w:marBottom w:val="0"/>
          <w:divBdr>
            <w:top w:val="none" w:sz="0" w:space="0" w:color="auto"/>
            <w:left w:val="none" w:sz="0" w:space="0" w:color="auto"/>
            <w:bottom w:val="none" w:sz="0" w:space="0" w:color="auto"/>
            <w:right w:val="none" w:sz="0" w:space="0" w:color="auto"/>
          </w:divBdr>
        </w:div>
      </w:divsChild>
    </w:div>
    <w:div w:id="933822724">
      <w:bodyDiv w:val="1"/>
      <w:marLeft w:val="0"/>
      <w:marRight w:val="0"/>
      <w:marTop w:val="0"/>
      <w:marBottom w:val="0"/>
      <w:divBdr>
        <w:top w:val="none" w:sz="0" w:space="0" w:color="auto"/>
        <w:left w:val="none" w:sz="0" w:space="0" w:color="auto"/>
        <w:bottom w:val="none" w:sz="0" w:space="0" w:color="auto"/>
        <w:right w:val="none" w:sz="0" w:space="0" w:color="auto"/>
      </w:divBdr>
      <w:divsChild>
        <w:div w:id="1081875657">
          <w:marLeft w:val="0"/>
          <w:marRight w:val="0"/>
          <w:marTop w:val="0"/>
          <w:marBottom w:val="0"/>
          <w:divBdr>
            <w:top w:val="none" w:sz="0" w:space="0" w:color="auto"/>
            <w:left w:val="none" w:sz="0" w:space="0" w:color="auto"/>
            <w:bottom w:val="none" w:sz="0" w:space="0" w:color="auto"/>
            <w:right w:val="none" w:sz="0" w:space="0" w:color="auto"/>
          </w:divBdr>
        </w:div>
        <w:div w:id="1581982410">
          <w:marLeft w:val="0"/>
          <w:marRight w:val="0"/>
          <w:marTop w:val="0"/>
          <w:marBottom w:val="0"/>
          <w:divBdr>
            <w:top w:val="none" w:sz="0" w:space="0" w:color="auto"/>
            <w:left w:val="none" w:sz="0" w:space="0" w:color="auto"/>
            <w:bottom w:val="none" w:sz="0" w:space="0" w:color="auto"/>
            <w:right w:val="none" w:sz="0" w:space="0" w:color="auto"/>
          </w:divBdr>
        </w:div>
      </w:divsChild>
    </w:div>
    <w:div w:id="940525894">
      <w:bodyDiv w:val="1"/>
      <w:marLeft w:val="0"/>
      <w:marRight w:val="0"/>
      <w:marTop w:val="0"/>
      <w:marBottom w:val="0"/>
      <w:divBdr>
        <w:top w:val="none" w:sz="0" w:space="0" w:color="auto"/>
        <w:left w:val="none" w:sz="0" w:space="0" w:color="auto"/>
        <w:bottom w:val="none" w:sz="0" w:space="0" w:color="auto"/>
        <w:right w:val="none" w:sz="0" w:space="0" w:color="auto"/>
      </w:divBdr>
      <w:divsChild>
        <w:div w:id="1125853737">
          <w:marLeft w:val="0"/>
          <w:marRight w:val="0"/>
          <w:marTop w:val="0"/>
          <w:marBottom w:val="0"/>
          <w:divBdr>
            <w:top w:val="none" w:sz="0" w:space="0" w:color="auto"/>
            <w:left w:val="none" w:sz="0" w:space="0" w:color="auto"/>
            <w:bottom w:val="none" w:sz="0" w:space="0" w:color="auto"/>
            <w:right w:val="none" w:sz="0" w:space="0" w:color="auto"/>
          </w:divBdr>
        </w:div>
        <w:div w:id="217280241">
          <w:marLeft w:val="0"/>
          <w:marRight w:val="0"/>
          <w:marTop w:val="0"/>
          <w:marBottom w:val="0"/>
          <w:divBdr>
            <w:top w:val="none" w:sz="0" w:space="0" w:color="auto"/>
            <w:left w:val="none" w:sz="0" w:space="0" w:color="auto"/>
            <w:bottom w:val="none" w:sz="0" w:space="0" w:color="auto"/>
            <w:right w:val="none" w:sz="0" w:space="0" w:color="auto"/>
          </w:divBdr>
        </w:div>
      </w:divsChild>
    </w:div>
    <w:div w:id="945503856">
      <w:bodyDiv w:val="1"/>
      <w:marLeft w:val="0"/>
      <w:marRight w:val="0"/>
      <w:marTop w:val="0"/>
      <w:marBottom w:val="0"/>
      <w:divBdr>
        <w:top w:val="none" w:sz="0" w:space="0" w:color="auto"/>
        <w:left w:val="none" w:sz="0" w:space="0" w:color="auto"/>
        <w:bottom w:val="none" w:sz="0" w:space="0" w:color="auto"/>
        <w:right w:val="none" w:sz="0" w:space="0" w:color="auto"/>
      </w:divBdr>
      <w:divsChild>
        <w:div w:id="1261988179">
          <w:marLeft w:val="0"/>
          <w:marRight w:val="0"/>
          <w:marTop w:val="0"/>
          <w:marBottom w:val="0"/>
          <w:divBdr>
            <w:top w:val="none" w:sz="0" w:space="0" w:color="auto"/>
            <w:left w:val="none" w:sz="0" w:space="0" w:color="auto"/>
            <w:bottom w:val="none" w:sz="0" w:space="0" w:color="auto"/>
            <w:right w:val="none" w:sz="0" w:space="0" w:color="auto"/>
          </w:divBdr>
        </w:div>
        <w:div w:id="1067651291">
          <w:marLeft w:val="0"/>
          <w:marRight w:val="0"/>
          <w:marTop w:val="0"/>
          <w:marBottom w:val="0"/>
          <w:divBdr>
            <w:top w:val="none" w:sz="0" w:space="0" w:color="auto"/>
            <w:left w:val="none" w:sz="0" w:space="0" w:color="auto"/>
            <w:bottom w:val="none" w:sz="0" w:space="0" w:color="auto"/>
            <w:right w:val="none" w:sz="0" w:space="0" w:color="auto"/>
          </w:divBdr>
        </w:div>
      </w:divsChild>
    </w:div>
    <w:div w:id="946499900">
      <w:bodyDiv w:val="1"/>
      <w:marLeft w:val="0"/>
      <w:marRight w:val="0"/>
      <w:marTop w:val="0"/>
      <w:marBottom w:val="0"/>
      <w:divBdr>
        <w:top w:val="none" w:sz="0" w:space="0" w:color="auto"/>
        <w:left w:val="none" w:sz="0" w:space="0" w:color="auto"/>
        <w:bottom w:val="none" w:sz="0" w:space="0" w:color="auto"/>
        <w:right w:val="none" w:sz="0" w:space="0" w:color="auto"/>
      </w:divBdr>
      <w:divsChild>
        <w:div w:id="1459447156">
          <w:marLeft w:val="0"/>
          <w:marRight w:val="0"/>
          <w:marTop w:val="0"/>
          <w:marBottom w:val="0"/>
          <w:divBdr>
            <w:top w:val="none" w:sz="0" w:space="0" w:color="auto"/>
            <w:left w:val="none" w:sz="0" w:space="0" w:color="auto"/>
            <w:bottom w:val="none" w:sz="0" w:space="0" w:color="auto"/>
            <w:right w:val="none" w:sz="0" w:space="0" w:color="auto"/>
          </w:divBdr>
        </w:div>
        <w:div w:id="946817107">
          <w:marLeft w:val="0"/>
          <w:marRight w:val="0"/>
          <w:marTop w:val="0"/>
          <w:marBottom w:val="0"/>
          <w:divBdr>
            <w:top w:val="none" w:sz="0" w:space="0" w:color="auto"/>
            <w:left w:val="none" w:sz="0" w:space="0" w:color="auto"/>
            <w:bottom w:val="none" w:sz="0" w:space="0" w:color="auto"/>
            <w:right w:val="none" w:sz="0" w:space="0" w:color="auto"/>
          </w:divBdr>
        </w:div>
      </w:divsChild>
    </w:div>
    <w:div w:id="998657014">
      <w:bodyDiv w:val="1"/>
      <w:marLeft w:val="0"/>
      <w:marRight w:val="0"/>
      <w:marTop w:val="0"/>
      <w:marBottom w:val="0"/>
      <w:divBdr>
        <w:top w:val="none" w:sz="0" w:space="0" w:color="auto"/>
        <w:left w:val="none" w:sz="0" w:space="0" w:color="auto"/>
        <w:bottom w:val="none" w:sz="0" w:space="0" w:color="auto"/>
        <w:right w:val="none" w:sz="0" w:space="0" w:color="auto"/>
      </w:divBdr>
      <w:divsChild>
        <w:div w:id="1295066730">
          <w:marLeft w:val="0"/>
          <w:marRight w:val="0"/>
          <w:marTop w:val="0"/>
          <w:marBottom w:val="0"/>
          <w:divBdr>
            <w:top w:val="none" w:sz="0" w:space="0" w:color="auto"/>
            <w:left w:val="none" w:sz="0" w:space="0" w:color="auto"/>
            <w:bottom w:val="none" w:sz="0" w:space="0" w:color="auto"/>
            <w:right w:val="none" w:sz="0" w:space="0" w:color="auto"/>
          </w:divBdr>
        </w:div>
        <w:div w:id="835341102">
          <w:marLeft w:val="0"/>
          <w:marRight w:val="0"/>
          <w:marTop w:val="0"/>
          <w:marBottom w:val="0"/>
          <w:divBdr>
            <w:top w:val="none" w:sz="0" w:space="0" w:color="auto"/>
            <w:left w:val="none" w:sz="0" w:space="0" w:color="auto"/>
            <w:bottom w:val="none" w:sz="0" w:space="0" w:color="auto"/>
            <w:right w:val="none" w:sz="0" w:space="0" w:color="auto"/>
          </w:divBdr>
        </w:div>
      </w:divsChild>
    </w:div>
    <w:div w:id="1017197133">
      <w:bodyDiv w:val="1"/>
      <w:marLeft w:val="0"/>
      <w:marRight w:val="0"/>
      <w:marTop w:val="0"/>
      <w:marBottom w:val="0"/>
      <w:divBdr>
        <w:top w:val="none" w:sz="0" w:space="0" w:color="auto"/>
        <w:left w:val="none" w:sz="0" w:space="0" w:color="auto"/>
        <w:bottom w:val="none" w:sz="0" w:space="0" w:color="auto"/>
        <w:right w:val="none" w:sz="0" w:space="0" w:color="auto"/>
      </w:divBdr>
      <w:divsChild>
        <w:div w:id="1714499553">
          <w:marLeft w:val="0"/>
          <w:marRight w:val="0"/>
          <w:marTop w:val="0"/>
          <w:marBottom w:val="0"/>
          <w:divBdr>
            <w:top w:val="none" w:sz="0" w:space="0" w:color="auto"/>
            <w:left w:val="none" w:sz="0" w:space="0" w:color="auto"/>
            <w:bottom w:val="none" w:sz="0" w:space="0" w:color="auto"/>
            <w:right w:val="none" w:sz="0" w:space="0" w:color="auto"/>
          </w:divBdr>
        </w:div>
        <w:div w:id="1597447005">
          <w:marLeft w:val="0"/>
          <w:marRight w:val="0"/>
          <w:marTop w:val="0"/>
          <w:marBottom w:val="0"/>
          <w:divBdr>
            <w:top w:val="none" w:sz="0" w:space="0" w:color="auto"/>
            <w:left w:val="none" w:sz="0" w:space="0" w:color="auto"/>
            <w:bottom w:val="none" w:sz="0" w:space="0" w:color="auto"/>
            <w:right w:val="none" w:sz="0" w:space="0" w:color="auto"/>
          </w:divBdr>
        </w:div>
      </w:divsChild>
    </w:div>
    <w:div w:id="1074621810">
      <w:bodyDiv w:val="1"/>
      <w:marLeft w:val="0"/>
      <w:marRight w:val="0"/>
      <w:marTop w:val="0"/>
      <w:marBottom w:val="0"/>
      <w:divBdr>
        <w:top w:val="none" w:sz="0" w:space="0" w:color="auto"/>
        <w:left w:val="none" w:sz="0" w:space="0" w:color="auto"/>
        <w:bottom w:val="none" w:sz="0" w:space="0" w:color="auto"/>
        <w:right w:val="none" w:sz="0" w:space="0" w:color="auto"/>
      </w:divBdr>
      <w:divsChild>
        <w:div w:id="1549098958">
          <w:marLeft w:val="0"/>
          <w:marRight w:val="0"/>
          <w:marTop w:val="0"/>
          <w:marBottom w:val="0"/>
          <w:divBdr>
            <w:top w:val="none" w:sz="0" w:space="0" w:color="auto"/>
            <w:left w:val="none" w:sz="0" w:space="0" w:color="auto"/>
            <w:bottom w:val="none" w:sz="0" w:space="0" w:color="auto"/>
            <w:right w:val="none" w:sz="0" w:space="0" w:color="auto"/>
          </w:divBdr>
        </w:div>
        <w:div w:id="2009206656">
          <w:marLeft w:val="0"/>
          <w:marRight w:val="0"/>
          <w:marTop w:val="0"/>
          <w:marBottom w:val="0"/>
          <w:divBdr>
            <w:top w:val="none" w:sz="0" w:space="0" w:color="auto"/>
            <w:left w:val="none" w:sz="0" w:space="0" w:color="auto"/>
            <w:bottom w:val="none" w:sz="0" w:space="0" w:color="auto"/>
            <w:right w:val="none" w:sz="0" w:space="0" w:color="auto"/>
          </w:divBdr>
        </w:div>
      </w:divsChild>
    </w:div>
    <w:div w:id="1091777338">
      <w:bodyDiv w:val="1"/>
      <w:marLeft w:val="0"/>
      <w:marRight w:val="0"/>
      <w:marTop w:val="0"/>
      <w:marBottom w:val="0"/>
      <w:divBdr>
        <w:top w:val="none" w:sz="0" w:space="0" w:color="auto"/>
        <w:left w:val="none" w:sz="0" w:space="0" w:color="auto"/>
        <w:bottom w:val="none" w:sz="0" w:space="0" w:color="auto"/>
        <w:right w:val="none" w:sz="0" w:space="0" w:color="auto"/>
      </w:divBdr>
      <w:divsChild>
        <w:div w:id="1187714334">
          <w:marLeft w:val="0"/>
          <w:marRight w:val="0"/>
          <w:marTop w:val="0"/>
          <w:marBottom w:val="0"/>
          <w:divBdr>
            <w:top w:val="none" w:sz="0" w:space="0" w:color="auto"/>
            <w:left w:val="none" w:sz="0" w:space="0" w:color="auto"/>
            <w:bottom w:val="none" w:sz="0" w:space="0" w:color="auto"/>
            <w:right w:val="none" w:sz="0" w:space="0" w:color="auto"/>
          </w:divBdr>
        </w:div>
        <w:div w:id="1028487515">
          <w:marLeft w:val="0"/>
          <w:marRight w:val="0"/>
          <w:marTop w:val="0"/>
          <w:marBottom w:val="0"/>
          <w:divBdr>
            <w:top w:val="none" w:sz="0" w:space="0" w:color="auto"/>
            <w:left w:val="none" w:sz="0" w:space="0" w:color="auto"/>
            <w:bottom w:val="none" w:sz="0" w:space="0" w:color="auto"/>
            <w:right w:val="none" w:sz="0" w:space="0" w:color="auto"/>
          </w:divBdr>
        </w:div>
      </w:divsChild>
    </w:div>
    <w:div w:id="1189878079">
      <w:bodyDiv w:val="1"/>
      <w:marLeft w:val="0"/>
      <w:marRight w:val="0"/>
      <w:marTop w:val="0"/>
      <w:marBottom w:val="0"/>
      <w:divBdr>
        <w:top w:val="none" w:sz="0" w:space="0" w:color="auto"/>
        <w:left w:val="none" w:sz="0" w:space="0" w:color="auto"/>
        <w:bottom w:val="none" w:sz="0" w:space="0" w:color="auto"/>
        <w:right w:val="none" w:sz="0" w:space="0" w:color="auto"/>
      </w:divBdr>
      <w:divsChild>
        <w:div w:id="2067727806">
          <w:marLeft w:val="0"/>
          <w:marRight w:val="0"/>
          <w:marTop w:val="0"/>
          <w:marBottom w:val="0"/>
          <w:divBdr>
            <w:top w:val="none" w:sz="0" w:space="0" w:color="auto"/>
            <w:left w:val="none" w:sz="0" w:space="0" w:color="auto"/>
            <w:bottom w:val="none" w:sz="0" w:space="0" w:color="auto"/>
            <w:right w:val="none" w:sz="0" w:space="0" w:color="auto"/>
          </w:divBdr>
        </w:div>
        <w:div w:id="1354116685">
          <w:marLeft w:val="0"/>
          <w:marRight w:val="0"/>
          <w:marTop w:val="0"/>
          <w:marBottom w:val="0"/>
          <w:divBdr>
            <w:top w:val="none" w:sz="0" w:space="0" w:color="auto"/>
            <w:left w:val="none" w:sz="0" w:space="0" w:color="auto"/>
            <w:bottom w:val="none" w:sz="0" w:space="0" w:color="auto"/>
            <w:right w:val="none" w:sz="0" w:space="0" w:color="auto"/>
          </w:divBdr>
        </w:div>
      </w:divsChild>
    </w:div>
    <w:div w:id="1193034594">
      <w:bodyDiv w:val="1"/>
      <w:marLeft w:val="0"/>
      <w:marRight w:val="0"/>
      <w:marTop w:val="0"/>
      <w:marBottom w:val="0"/>
      <w:divBdr>
        <w:top w:val="none" w:sz="0" w:space="0" w:color="auto"/>
        <w:left w:val="none" w:sz="0" w:space="0" w:color="auto"/>
        <w:bottom w:val="none" w:sz="0" w:space="0" w:color="auto"/>
        <w:right w:val="none" w:sz="0" w:space="0" w:color="auto"/>
      </w:divBdr>
      <w:divsChild>
        <w:div w:id="422068749">
          <w:marLeft w:val="0"/>
          <w:marRight w:val="0"/>
          <w:marTop w:val="0"/>
          <w:marBottom w:val="0"/>
          <w:divBdr>
            <w:top w:val="none" w:sz="0" w:space="0" w:color="auto"/>
            <w:left w:val="none" w:sz="0" w:space="0" w:color="auto"/>
            <w:bottom w:val="none" w:sz="0" w:space="0" w:color="auto"/>
            <w:right w:val="none" w:sz="0" w:space="0" w:color="auto"/>
          </w:divBdr>
        </w:div>
        <w:div w:id="395326036">
          <w:marLeft w:val="0"/>
          <w:marRight w:val="0"/>
          <w:marTop w:val="0"/>
          <w:marBottom w:val="0"/>
          <w:divBdr>
            <w:top w:val="none" w:sz="0" w:space="0" w:color="auto"/>
            <w:left w:val="none" w:sz="0" w:space="0" w:color="auto"/>
            <w:bottom w:val="none" w:sz="0" w:space="0" w:color="auto"/>
            <w:right w:val="none" w:sz="0" w:space="0" w:color="auto"/>
          </w:divBdr>
        </w:div>
      </w:divsChild>
    </w:div>
    <w:div w:id="1217275845">
      <w:bodyDiv w:val="1"/>
      <w:marLeft w:val="0"/>
      <w:marRight w:val="0"/>
      <w:marTop w:val="0"/>
      <w:marBottom w:val="0"/>
      <w:divBdr>
        <w:top w:val="none" w:sz="0" w:space="0" w:color="auto"/>
        <w:left w:val="none" w:sz="0" w:space="0" w:color="auto"/>
        <w:bottom w:val="none" w:sz="0" w:space="0" w:color="auto"/>
        <w:right w:val="none" w:sz="0" w:space="0" w:color="auto"/>
      </w:divBdr>
      <w:divsChild>
        <w:div w:id="1790591479">
          <w:marLeft w:val="0"/>
          <w:marRight w:val="0"/>
          <w:marTop w:val="0"/>
          <w:marBottom w:val="0"/>
          <w:divBdr>
            <w:top w:val="none" w:sz="0" w:space="0" w:color="auto"/>
            <w:left w:val="none" w:sz="0" w:space="0" w:color="auto"/>
            <w:bottom w:val="none" w:sz="0" w:space="0" w:color="auto"/>
            <w:right w:val="none" w:sz="0" w:space="0" w:color="auto"/>
          </w:divBdr>
        </w:div>
        <w:div w:id="989021104">
          <w:marLeft w:val="0"/>
          <w:marRight w:val="0"/>
          <w:marTop w:val="0"/>
          <w:marBottom w:val="0"/>
          <w:divBdr>
            <w:top w:val="none" w:sz="0" w:space="0" w:color="auto"/>
            <w:left w:val="none" w:sz="0" w:space="0" w:color="auto"/>
            <w:bottom w:val="none" w:sz="0" w:space="0" w:color="auto"/>
            <w:right w:val="none" w:sz="0" w:space="0" w:color="auto"/>
          </w:divBdr>
        </w:div>
      </w:divsChild>
    </w:div>
    <w:div w:id="1217932218">
      <w:bodyDiv w:val="1"/>
      <w:marLeft w:val="0"/>
      <w:marRight w:val="0"/>
      <w:marTop w:val="0"/>
      <w:marBottom w:val="0"/>
      <w:divBdr>
        <w:top w:val="none" w:sz="0" w:space="0" w:color="auto"/>
        <w:left w:val="none" w:sz="0" w:space="0" w:color="auto"/>
        <w:bottom w:val="none" w:sz="0" w:space="0" w:color="auto"/>
        <w:right w:val="none" w:sz="0" w:space="0" w:color="auto"/>
      </w:divBdr>
      <w:divsChild>
        <w:div w:id="1136146955">
          <w:marLeft w:val="0"/>
          <w:marRight w:val="0"/>
          <w:marTop w:val="0"/>
          <w:marBottom w:val="0"/>
          <w:divBdr>
            <w:top w:val="none" w:sz="0" w:space="0" w:color="auto"/>
            <w:left w:val="none" w:sz="0" w:space="0" w:color="auto"/>
            <w:bottom w:val="none" w:sz="0" w:space="0" w:color="auto"/>
            <w:right w:val="none" w:sz="0" w:space="0" w:color="auto"/>
          </w:divBdr>
        </w:div>
        <w:div w:id="1160848442">
          <w:marLeft w:val="0"/>
          <w:marRight w:val="0"/>
          <w:marTop w:val="0"/>
          <w:marBottom w:val="0"/>
          <w:divBdr>
            <w:top w:val="none" w:sz="0" w:space="0" w:color="auto"/>
            <w:left w:val="none" w:sz="0" w:space="0" w:color="auto"/>
            <w:bottom w:val="none" w:sz="0" w:space="0" w:color="auto"/>
            <w:right w:val="none" w:sz="0" w:space="0" w:color="auto"/>
          </w:divBdr>
        </w:div>
      </w:divsChild>
    </w:div>
    <w:div w:id="1238594668">
      <w:bodyDiv w:val="1"/>
      <w:marLeft w:val="0"/>
      <w:marRight w:val="0"/>
      <w:marTop w:val="0"/>
      <w:marBottom w:val="0"/>
      <w:divBdr>
        <w:top w:val="none" w:sz="0" w:space="0" w:color="auto"/>
        <w:left w:val="none" w:sz="0" w:space="0" w:color="auto"/>
        <w:bottom w:val="none" w:sz="0" w:space="0" w:color="auto"/>
        <w:right w:val="none" w:sz="0" w:space="0" w:color="auto"/>
      </w:divBdr>
      <w:divsChild>
        <w:div w:id="739135755">
          <w:marLeft w:val="0"/>
          <w:marRight w:val="0"/>
          <w:marTop w:val="0"/>
          <w:marBottom w:val="0"/>
          <w:divBdr>
            <w:top w:val="none" w:sz="0" w:space="0" w:color="auto"/>
            <w:left w:val="none" w:sz="0" w:space="0" w:color="auto"/>
            <w:bottom w:val="none" w:sz="0" w:space="0" w:color="auto"/>
            <w:right w:val="none" w:sz="0" w:space="0" w:color="auto"/>
          </w:divBdr>
        </w:div>
        <w:div w:id="1029525798">
          <w:marLeft w:val="0"/>
          <w:marRight w:val="0"/>
          <w:marTop w:val="0"/>
          <w:marBottom w:val="0"/>
          <w:divBdr>
            <w:top w:val="none" w:sz="0" w:space="0" w:color="auto"/>
            <w:left w:val="none" w:sz="0" w:space="0" w:color="auto"/>
            <w:bottom w:val="none" w:sz="0" w:space="0" w:color="auto"/>
            <w:right w:val="none" w:sz="0" w:space="0" w:color="auto"/>
          </w:divBdr>
        </w:div>
      </w:divsChild>
    </w:div>
    <w:div w:id="1267233099">
      <w:bodyDiv w:val="1"/>
      <w:marLeft w:val="0"/>
      <w:marRight w:val="0"/>
      <w:marTop w:val="0"/>
      <w:marBottom w:val="0"/>
      <w:divBdr>
        <w:top w:val="none" w:sz="0" w:space="0" w:color="auto"/>
        <w:left w:val="none" w:sz="0" w:space="0" w:color="auto"/>
        <w:bottom w:val="none" w:sz="0" w:space="0" w:color="auto"/>
        <w:right w:val="none" w:sz="0" w:space="0" w:color="auto"/>
      </w:divBdr>
      <w:divsChild>
        <w:div w:id="639573938">
          <w:marLeft w:val="0"/>
          <w:marRight w:val="0"/>
          <w:marTop w:val="0"/>
          <w:marBottom w:val="0"/>
          <w:divBdr>
            <w:top w:val="none" w:sz="0" w:space="0" w:color="auto"/>
            <w:left w:val="none" w:sz="0" w:space="0" w:color="auto"/>
            <w:bottom w:val="none" w:sz="0" w:space="0" w:color="auto"/>
            <w:right w:val="none" w:sz="0" w:space="0" w:color="auto"/>
          </w:divBdr>
        </w:div>
        <w:div w:id="247229399">
          <w:marLeft w:val="0"/>
          <w:marRight w:val="0"/>
          <w:marTop w:val="0"/>
          <w:marBottom w:val="0"/>
          <w:divBdr>
            <w:top w:val="none" w:sz="0" w:space="0" w:color="auto"/>
            <w:left w:val="none" w:sz="0" w:space="0" w:color="auto"/>
            <w:bottom w:val="none" w:sz="0" w:space="0" w:color="auto"/>
            <w:right w:val="none" w:sz="0" w:space="0" w:color="auto"/>
          </w:divBdr>
        </w:div>
      </w:divsChild>
    </w:div>
    <w:div w:id="1315718979">
      <w:bodyDiv w:val="1"/>
      <w:marLeft w:val="0"/>
      <w:marRight w:val="0"/>
      <w:marTop w:val="0"/>
      <w:marBottom w:val="0"/>
      <w:divBdr>
        <w:top w:val="none" w:sz="0" w:space="0" w:color="auto"/>
        <w:left w:val="none" w:sz="0" w:space="0" w:color="auto"/>
        <w:bottom w:val="none" w:sz="0" w:space="0" w:color="auto"/>
        <w:right w:val="none" w:sz="0" w:space="0" w:color="auto"/>
      </w:divBdr>
      <w:divsChild>
        <w:div w:id="1238907411">
          <w:marLeft w:val="0"/>
          <w:marRight w:val="0"/>
          <w:marTop w:val="0"/>
          <w:marBottom w:val="0"/>
          <w:divBdr>
            <w:top w:val="none" w:sz="0" w:space="0" w:color="auto"/>
            <w:left w:val="none" w:sz="0" w:space="0" w:color="auto"/>
            <w:bottom w:val="none" w:sz="0" w:space="0" w:color="auto"/>
            <w:right w:val="none" w:sz="0" w:space="0" w:color="auto"/>
          </w:divBdr>
        </w:div>
        <w:div w:id="316233049">
          <w:marLeft w:val="0"/>
          <w:marRight w:val="0"/>
          <w:marTop w:val="0"/>
          <w:marBottom w:val="0"/>
          <w:divBdr>
            <w:top w:val="none" w:sz="0" w:space="0" w:color="auto"/>
            <w:left w:val="none" w:sz="0" w:space="0" w:color="auto"/>
            <w:bottom w:val="none" w:sz="0" w:space="0" w:color="auto"/>
            <w:right w:val="none" w:sz="0" w:space="0" w:color="auto"/>
          </w:divBdr>
        </w:div>
      </w:divsChild>
    </w:div>
    <w:div w:id="1329401327">
      <w:bodyDiv w:val="1"/>
      <w:marLeft w:val="0"/>
      <w:marRight w:val="0"/>
      <w:marTop w:val="0"/>
      <w:marBottom w:val="0"/>
      <w:divBdr>
        <w:top w:val="none" w:sz="0" w:space="0" w:color="auto"/>
        <w:left w:val="none" w:sz="0" w:space="0" w:color="auto"/>
        <w:bottom w:val="none" w:sz="0" w:space="0" w:color="auto"/>
        <w:right w:val="none" w:sz="0" w:space="0" w:color="auto"/>
      </w:divBdr>
      <w:divsChild>
        <w:div w:id="896938141">
          <w:marLeft w:val="0"/>
          <w:marRight w:val="0"/>
          <w:marTop w:val="0"/>
          <w:marBottom w:val="0"/>
          <w:divBdr>
            <w:top w:val="none" w:sz="0" w:space="0" w:color="auto"/>
            <w:left w:val="none" w:sz="0" w:space="0" w:color="auto"/>
            <w:bottom w:val="none" w:sz="0" w:space="0" w:color="auto"/>
            <w:right w:val="none" w:sz="0" w:space="0" w:color="auto"/>
          </w:divBdr>
        </w:div>
        <w:div w:id="523514926">
          <w:marLeft w:val="0"/>
          <w:marRight w:val="0"/>
          <w:marTop w:val="0"/>
          <w:marBottom w:val="0"/>
          <w:divBdr>
            <w:top w:val="none" w:sz="0" w:space="0" w:color="auto"/>
            <w:left w:val="none" w:sz="0" w:space="0" w:color="auto"/>
            <w:bottom w:val="none" w:sz="0" w:space="0" w:color="auto"/>
            <w:right w:val="none" w:sz="0" w:space="0" w:color="auto"/>
          </w:divBdr>
        </w:div>
      </w:divsChild>
    </w:div>
    <w:div w:id="1356418259">
      <w:bodyDiv w:val="1"/>
      <w:marLeft w:val="0"/>
      <w:marRight w:val="0"/>
      <w:marTop w:val="0"/>
      <w:marBottom w:val="0"/>
      <w:divBdr>
        <w:top w:val="none" w:sz="0" w:space="0" w:color="auto"/>
        <w:left w:val="none" w:sz="0" w:space="0" w:color="auto"/>
        <w:bottom w:val="none" w:sz="0" w:space="0" w:color="auto"/>
        <w:right w:val="none" w:sz="0" w:space="0" w:color="auto"/>
      </w:divBdr>
      <w:divsChild>
        <w:div w:id="1613780012">
          <w:marLeft w:val="0"/>
          <w:marRight w:val="0"/>
          <w:marTop w:val="0"/>
          <w:marBottom w:val="0"/>
          <w:divBdr>
            <w:top w:val="none" w:sz="0" w:space="0" w:color="auto"/>
            <w:left w:val="none" w:sz="0" w:space="0" w:color="auto"/>
            <w:bottom w:val="none" w:sz="0" w:space="0" w:color="auto"/>
            <w:right w:val="none" w:sz="0" w:space="0" w:color="auto"/>
          </w:divBdr>
        </w:div>
        <w:div w:id="1198467457">
          <w:marLeft w:val="0"/>
          <w:marRight w:val="0"/>
          <w:marTop w:val="0"/>
          <w:marBottom w:val="0"/>
          <w:divBdr>
            <w:top w:val="none" w:sz="0" w:space="0" w:color="auto"/>
            <w:left w:val="none" w:sz="0" w:space="0" w:color="auto"/>
            <w:bottom w:val="none" w:sz="0" w:space="0" w:color="auto"/>
            <w:right w:val="none" w:sz="0" w:space="0" w:color="auto"/>
          </w:divBdr>
        </w:div>
      </w:divsChild>
    </w:div>
    <w:div w:id="1363437449">
      <w:bodyDiv w:val="1"/>
      <w:marLeft w:val="0"/>
      <w:marRight w:val="0"/>
      <w:marTop w:val="0"/>
      <w:marBottom w:val="0"/>
      <w:divBdr>
        <w:top w:val="none" w:sz="0" w:space="0" w:color="auto"/>
        <w:left w:val="none" w:sz="0" w:space="0" w:color="auto"/>
        <w:bottom w:val="none" w:sz="0" w:space="0" w:color="auto"/>
        <w:right w:val="none" w:sz="0" w:space="0" w:color="auto"/>
      </w:divBdr>
      <w:divsChild>
        <w:div w:id="1748724684">
          <w:marLeft w:val="0"/>
          <w:marRight w:val="0"/>
          <w:marTop w:val="0"/>
          <w:marBottom w:val="0"/>
          <w:divBdr>
            <w:top w:val="none" w:sz="0" w:space="0" w:color="auto"/>
            <w:left w:val="none" w:sz="0" w:space="0" w:color="auto"/>
            <w:bottom w:val="none" w:sz="0" w:space="0" w:color="auto"/>
            <w:right w:val="none" w:sz="0" w:space="0" w:color="auto"/>
          </w:divBdr>
        </w:div>
        <w:div w:id="438843248">
          <w:marLeft w:val="0"/>
          <w:marRight w:val="0"/>
          <w:marTop w:val="0"/>
          <w:marBottom w:val="0"/>
          <w:divBdr>
            <w:top w:val="none" w:sz="0" w:space="0" w:color="auto"/>
            <w:left w:val="none" w:sz="0" w:space="0" w:color="auto"/>
            <w:bottom w:val="none" w:sz="0" w:space="0" w:color="auto"/>
            <w:right w:val="none" w:sz="0" w:space="0" w:color="auto"/>
          </w:divBdr>
        </w:div>
      </w:divsChild>
    </w:div>
    <w:div w:id="1402824386">
      <w:bodyDiv w:val="1"/>
      <w:marLeft w:val="0"/>
      <w:marRight w:val="0"/>
      <w:marTop w:val="0"/>
      <w:marBottom w:val="0"/>
      <w:divBdr>
        <w:top w:val="none" w:sz="0" w:space="0" w:color="auto"/>
        <w:left w:val="none" w:sz="0" w:space="0" w:color="auto"/>
        <w:bottom w:val="none" w:sz="0" w:space="0" w:color="auto"/>
        <w:right w:val="none" w:sz="0" w:space="0" w:color="auto"/>
      </w:divBdr>
      <w:divsChild>
        <w:div w:id="1917473152">
          <w:marLeft w:val="0"/>
          <w:marRight w:val="0"/>
          <w:marTop w:val="0"/>
          <w:marBottom w:val="0"/>
          <w:divBdr>
            <w:top w:val="none" w:sz="0" w:space="0" w:color="auto"/>
            <w:left w:val="none" w:sz="0" w:space="0" w:color="auto"/>
            <w:bottom w:val="none" w:sz="0" w:space="0" w:color="auto"/>
            <w:right w:val="none" w:sz="0" w:space="0" w:color="auto"/>
          </w:divBdr>
        </w:div>
        <w:div w:id="998970825">
          <w:marLeft w:val="0"/>
          <w:marRight w:val="0"/>
          <w:marTop w:val="0"/>
          <w:marBottom w:val="0"/>
          <w:divBdr>
            <w:top w:val="none" w:sz="0" w:space="0" w:color="auto"/>
            <w:left w:val="none" w:sz="0" w:space="0" w:color="auto"/>
            <w:bottom w:val="none" w:sz="0" w:space="0" w:color="auto"/>
            <w:right w:val="none" w:sz="0" w:space="0" w:color="auto"/>
          </w:divBdr>
        </w:div>
      </w:divsChild>
    </w:div>
    <w:div w:id="1409159386">
      <w:bodyDiv w:val="1"/>
      <w:marLeft w:val="0"/>
      <w:marRight w:val="0"/>
      <w:marTop w:val="0"/>
      <w:marBottom w:val="0"/>
      <w:divBdr>
        <w:top w:val="none" w:sz="0" w:space="0" w:color="auto"/>
        <w:left w:val="none" w:sz="0" w:space="0" w:color="auto"/>
        <w:bottom w:val="none" w:sz="0" w:space="0" w:color="auto"/>
        <w:right w:val="none" w:sz="0" w:space="0" w:color="auto"/>
      </w:divBdr>
      <w:divsChild>
        <w:div w:id="175465534">
          <w:marLeft w:val="0"/>
          <w:marRight w:val="0"/>
          <w:marTop w:val="0"/>
          <w:marBottom w:val="0"/>
          <w:divBdr>
            <w:top w:val="none" w:sz="0" w:space="0" w:color="auto"/>
            <w:left w:val="none" w:sz="0" w:space="0" w:color="auto"/>
            <w:bottom w:val="none" w:sz="0" w:space="0" w:color="auto"/>
            <w:right w:val="none" w:sz="0" w:space="0" w:color="auto"/>
          </w:divBdr>
          <w:divsChild>
            <w:div w:id="1164928751">
              <w:marLeft w:val="0"/>
              <w:marRight w:val="0"/>
              <w:marTop w:val="0"/>
              <w:marBottom w:val="0"/>
              <w:divBdr>
                <w:top w:val="none" w:sz="0" w:space="0" w:color="auto"/>
                <w:left w:val="none" w:sz="0" w:space="0" w:color="auto"/>
                <w:bottom w:val="none" w:sz="0" w:space="0" w:color="auto"/>
                <w:right w:val="none" w:sz="0" w:space="0" w:color="auto"/>
              </w:divBdr>
              <w:divsChild>
                <w:div w:id="1688601874">
                  <w:marLeft w:val="0"/>
                  <w:marRight w:val="0"/>
                  <w:marTop w:val="0"/>
                  <w:marBottom w:val="0"/>
                  <w:divBdr>
                    <w:top w:val="none" w:sz="0" w:space="0" w:color="auto"/>
                    <w:left w:val="none" w:sz="0" w:space="0" w:color="auto"/>
                    <w:bottom w:val="none" w:sz="0" w:space="0" w:color="auto"/>
                    <w:right w:val="none" w:sz="0" w:space="0" w:color="auto"/>
                  </w:divBdr>
                </w:div>
                <w:div w:id="494958827">
                  <w:marLeft w:val="0"/>
                  <w:marRight w:val="0"/>
                  <w:marTop w:val="0"/>
                  <w:marBottom w:val="0"/>
                  <w:divBdr>
                    <w:top w:val="none" w:sz="0" w:space="0" w:color="auto"/>
                    <w:left w:val="none" w:sz="0" w:space="0" w:color="auto"/>
                    <w:bottom w:val="none" w:sz="0" w:space="0" w:color="auto"/>
                    <w:right w:val="none" w:sz="0" w:space="0" w:color="auto"/>
                  </w:divBdr>
                </w:div>
                <w:div w:id="1201111">
                  <w:marLeft w:val="0"/>
                  <w:marRight w:val="0"/>
                  <w:marTop w:val="0"/>
                  <w:marBottom w:val="0"/>
                  <w:divBdr>
                    <w:top w:val="none" w:sz="0" w:space="0" w:color="auto"/>
                    <w:left w:val="none" w:sz="0" w:space="0" w:color="auto"/>
                    <w:bottom w:val="none" w:sz="0" w:space="0" w:color="auto"/>
                    <w:right w:val="none" w:sz="0" w:space="0" w:color="auto"/>
                  </w:divBdr>
                </w:div>
                <w:div w:id="1882476097">
                  <w:marLeft w:val="0"/>
                  <w:marRight w:val="0"/>
                  <w:marTop w:val="0"/>
                  <w:marBottom w:val="0"/>
                  <w:divBdr>
                    <w:top w:val="none" w:sz="0" w:space="0" w:color="auto"/>
                    <w:left w:val="none" w:sz="0" w:space="0" w:color="auto"/>
                    <w:bottom w:val="none" w:sz="0" w:space="0" w:color="auto"/>
                    <w:right w:val="none" w:sz="0" w:space="0" w:color="auto"/>
                  </w:divBdr>
                </w:div>
              </w:divsChild>
            </w:div>
            <w:div w:id="698624081">
              <w:marLeft w:val="0"/>
              <w:marRight w:val="0"/>
              <w:marTop w:val="0"/>
              <w:marBottom w:val="0"/>
              <w:divBdr>
                <w:top w:val="none" w:sz="0" w:space="0" w:color="auto"/>
                <w:left w:val="none" w:sz="0" w:space="0" w:color="auto"/>
                <w:bottom w:val="none" w:sz="0" w:space="0" w:color="auto"/>
                <w:right w:val="none" w:sz="0" w:space="0" w:color="auto"/>
              </w:divBdr>
              <w:divsChild>
                <w:div w:id="13919133">
                  <w:marLeft w:val="0"/>
                  <w:marRight w:val="0"/>
                  <w:marTop w:val="0"/>
                  <w:marBottom w:val="0"/>
                  <w:divBdr>
                    <w:top w:val="none" w:sz="0" w:space="0" w:color="auto"/>
                    <w:left w:val="none" w:sz="0" w:space="0" w:color="auto"/>
                    <w:bottom w:val="none" w:sz="0" w:space="0" w:color="auto"/>
                    <w:right w:val="none" w:sz="0" w:space="0" w:color="auto"/>
                  </w:divBdr>
                </w:div>
              </w:divsChild>
            </w:div>
            <w:div w:id="1782453809">
              <w:marLeft w:val="0"/>
              <w:marRight w:val="0"/>
              <w:marTop w:val="0"/>
              <w:marBottom w:val="0"/>
              <w:divBdr>
                <w:top w:val="none" w:sz="0" w:space="0" w:color="auto"/>
                <w:left w:val="none" w:sz="0" w:space="0" w:color="auto"/>
                <w:bottom w:val="none" w:sz="0" w:space="0" w:color="auto"/>
                <w:right w:val="none" w:sz="0" w:space="0" w:color="auto"/>
              </w:divBdr>
              <w:divsChild>
                <w:div w:id="1155804222">
                  <w:marLeft w:val="0"/>
                  <w:marRight w:val="0"/>
                  <w:marTop w:val="0"/>
                  <w:marBottom w:val="0"/>
                  <w:divBdr>
                    <w:top w:val="none" w:sz="0" w:space="0" w:color="auto"/>
                    <w:left w:val="none" w:sz="0" w:space="0" w:color="auto"/>
                    <w:bottom w:val="none" w:sz="0" w:space="0" w:color="auto"/>
                    <w:right w:val="none" w:sz="0" w:space="0" w:color="auto"/>
                  </w:divBdr>
                </w:div>
              </w:divsChild>
            </w:div>
            <w:div w:id="1943221165">
              <w:marLeft w:val="0"/>
              <w:marRight w:val="0"/>
              <w:marTop w:val="0"/>
              <w:marBottom w:val="0"/>
              <w:divBdr>
                <w:top w:val="none" w:sz="0" w:space="0" w:color="auto"/>
                <w:left w:val="none" w:sz="0" w:space="0" w:color="auto"/>
                <w:bottom w:val="none" w:sz="0" w:space="0" w:color="auto"/>
                <w:right w:val="none" w:sz="0" w:space="0" w:color="auto"/>
              </w:divBdr>
              <w:divsChild>
                <w:div w:id="151160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085860">
      <w:bodyDiv w:val="1"/>
      <w:marLeft w:val="0"/>
      <w:marRight w:val="0"/>
      <w:marTop w:val="0"/>
      <w:marBottom w:val="0"/>
      <w:divBdr>
        <w:top w:val="none" w:sz="0" w:space="0" w:color="auto"/>
        <w:left w:val="none" w:sz="0" w:space="0" w:color="auto"/>
        <w:bottom w:val="none" w:sz="0" w:space="0" w:color="auto"/>
        <w:right w:val="none" w:sz="0" w:space="0" w:color="auto"/>
      </w:divBdr>
      <w:divsChild>
        <w:div w:id="749623367">
          <w:marLeft w:val="0"/>
          <w:marRight w:val="0"/>
          <w:marTop w:val="0"/>
          <w:marBottom w:val="0"/>
          <w:divBdr>
            <w:top w:val="none" w:sz="0" w:space="0" w:color="auto"/>
            <w:left w:val="none" w:sz="0" w:space="0" w:color="auto"/>
            <w:bottom w:val="none" w:sz="0" w:space="0" w:color="auto"/>
            <w:right w:val="none" w:sz="0" w:space="0" w:color="auto"/>
          </w:divBdr>
        </w:div>
        <w:div w:id="774785538">
          <w:marLeft w:val="0"/>
          <w:marRight w:val="0"/>
          <w:marTop w:val="0"/>
          <w:marBottom w:val="0"/>
          <w:divBdr>
            <w:top w:val="none" w:sz="0" w:space="0" w:color="auto"/>
            <w:left w:val="none" w:sz="0" w:space="0" w:color="auto"/>
            <w:bottom w:val="none" w:sz="0" w:space="0" w:color="auto"/>
            <w:right w:val="none" w:sz="0" w:space="0" w:color="auto"/>
          </w:divBdr>
        </w:div>
      </w:divsChild>
    </w:div>
    <w:div w:id="1469204801">
      <w:bodyDiv w:val="1"/>
      <w:marLeft w:val="0"/>
      <w:marRight w:val="0"/>
      <w:marTop w:val="0"/>
      <w:marBottom w:val="0"/>
      <w:divBdr>
        <w:top w:val="none" w:sz="0" w:space="0" w:color="auto"/>
        <w:left w:val="none" w:sz="0" w:space="0" w:color="auto"/>
        <w:bottom w:val="none" w:sz="0" w:space="0" w:color="auto"/>
        <w:right w:val="none" w:sz="0" w:space="0" w:color="auto"/>
      </w:divBdr>
      <w:divsChild>
        <w:div w:id="990910483">
          <w:marLeft w:val="0"/>
          <w:marRight w:val="0"/>
          <w:marTop w:val="0"/>
          <w:marBottom w:val="0"/>
          <w:divBdr>
            <w:top w:val="none" w:sz="0" w:space="0" w:color="auto"/>
            <w:left w:val="none" w:sz="0" w:space="0" w:color="auto"/>
            <w:bottom w:val="none" w:sz="0" w:space="0" w:color="auto"/>
            <w:right w:val="none" w:sz="0" w:space="0" w:color="auto"/>
          </w:divBdr>
        </w:div>
        <w:div w:id="441539593">
          <w:marLeft w:val="0"/>
          <w:marRight w:val="0"/>
          <w:marTop w:val="0"/>
          <w:marBottom w:val="0"/>
          <w:divBdr>
            <w:top w:val="none" w:sz="0" w:space="0" w:color="auto"/>
            <w:left w:val="none" w:sz="0" w:space="0" w:color="auto"/>
            <w:bottom w:val="none" w:sz="0" w:space="0" w:color="auto"/>
            <w:right w:val="none" w:sz="0" w:space="0" w:color="auto"/>
          </w:divBdr>
        </w:div>
      </w:divsChild>
    </w:div>
    <w:div w:id="1493718677">
      <w:bodyDiv w:val="1"/>
      <w:marLeft w:val="0"/>
      <w:marRight w:val="0"/>
      <w:marTop w:val="0"/>
      <w:marBottom w:val="0"/>
      <w:divBdr>
        <w:top w:val="none" w:sz="0" w:space="0" w:color="auto"/>
        <w:left w:val="none" w:sz="0" w:space="0" w:color="auto"/>
        <w:bottom w:val="none" w:sz="0" w:space="0" w:color="auto"/>
        <w:right w:val="none" w:sz="0" w:space="0" w:color="auto"/>
      </w:divBdr>
      <w:divsChild>
        <w:div w:id="793525011">
          <w:marLeft w:val="0"/>
          <w:marRight w:val="0"/>
          <w:marTop w:val="0"/>
          <w:marBottom w:val="0"/>
          <w:divBdr>
            <w:top w:val="none" w:sz="0" w:space="0" w:color="auto"/>
            <w:left w:val="none" w:sz="0" w:space="0" w:color="auto"/>
            <w:bottom w:val="none" w:sz="0" w:space="0" w:color="auto"/>
            <w:right w:val="none" w:sz="0" w:space="0" w:color="auto"/>
          </w:divBdr>
        </w:div>
        <w:div w:id="1420059327">
          <w:marLeft w:val="0"/>
          <w:marRight w:val="0"/>
          <w:marTop w:val="0"/>
          <w:marBottom w:val="0"/>
          <w:divBdr>
            <w:top w:val="none" w:sz="0" w:space="0" w:color="auto"/>
            <w:left w:val="none" w:sz="0" w:space="0" w:color="auto"/>
            <w:bottom w:val="none" w:sz="0" w:space="0" w:color="auto"/>
            <w:right w:val="none" w:sz="0" w:space="0" w:color="auto"/>
          </w:divBdr>
        </w:div>
      </w:divsChild>
    </w:div>
    <w:div w:id="1496652768">
      <w:bodyDiv w:val="1"/>
      <w:marLeft w:val="0"/>
      <w:marRight w:val="0"/>
      <w:marTop w:val="0"/>
      <w:marBottom w:val="0"/>
      <w:divBdr>
        <w:top w:val="none" w:sz="0" w:space="0" w:color="auto"/>
        <w:left w:val="none" w:sz="0" w:space="0" w:color="auto"/>
        <w:bottom w:val="none" w:sz="0" w:space="0" w:color="auto"/>
        <w:right w:val="none" w:sz="0" w:space="0" w:color="auto"/>
      </w:divBdr>
      <w:divsChild>
        <w:div w:id="842283459">
          <w:marLeft w:val="0"/>
          <w:marRight w:val="0"/>
          <w:marTop w:val="0"/>
          <w:marBottom w:val="0"/>
          <w:divBdr>
            <w:top w:val="none" w:sz="0" w:space="0" w:color="auto"/>
            <w:left w:val="none" w:sz="0" w:space="0" w:color="auto"/>
            <w:bottom w:val="none" w:sz="0" w:space="0" w:color="auto"/>
            <w:right w:val="none" w:sz="0" w:space="0" w:color="auto"/>
          </w:divBdr>
        </w:div>
        <w:div w:id="55974245">
          <w:marLeft w:val="0"/>
          <w:marRight w:val="0"/>
          <w:marTop w:val="0"/>
          <w:marBottom w:val="0"/>
          <w:divBdr>
            <w:top w:val="none" w:sz="0" w:space="0" w:color="auto"/>
            <w:left w:val="none" w:sz="0" w:space="0" w:color="auto"/>
            <w:bottom w:val="none" w:sz="0" w:space="0" w:color="auto"/>
            <w:right w:val="none" w:sz="0" w:space="0" w:color="auto"/>
          </w:divBdr>
        </w:div>
      </w:divsChild>
    </w:div>
    <w:div w:id="1607810950">
      <w:bodyDiv w:val="1"/>
      <w:marLeft w:val="0"/>
      <w:marRight w:val="0"/>
      <w:marTop w:val="0"/>
      <w:marBottom w:val="0"/>
      <w:divBdr>
        <w:top w:val="none" w:sz="0" w:space="0" w:color="auto"/>
        <w:left w:val="none" w:sz="0" w:space="0" w:color="auto"/>
        <w:bottom w:val="none" w:sz="0" w:space="0" w:color="auto"/>
        <w:right w:val="none" w:sz="0" w:space="0" w:color="auto"/>
      </w:divBdr>
      <w:divsChild>
        <w:div w:id="1691301534">
          <w:marLeft w:val="0"/>
          <w:marRight w:val="0"/>
          <w:marTop w:val="0"/>
          <w:marBottom w:val="0"/>
          <w:divBdr>
            <w:top w:val="none" w:sz="0" w:space="0" w:color="auto"/>
            <w:left w:val="none" w:sz="0" w:space="0" w:color="auto"/>
            <w:bottom w:val="none" w:sz="0" w:space="0" w:color="auto"/>
            <w:right w:val="none" w:sz="0" w:space="0" w:color="auto"/>
          </w:divBdr>
        </w:div>
        <w:div w:id="1759401585">
          <w:marLeft w:val="0"/>
          <w:marRight w:val="0"/>
          <w:marTop w:val="0"/>
          <w:marBottom w:val="0"/>
          <w:divBdr>
            <w:top w:val="none" w:sz="0" w:space="0" w:color="auto"/>
            <w:left w:val="none" w:sz="0" w:space="0" w:color="auto"/>
            <w:bottom w:val="none" w:sz="0" w:space="0" w:color="auto"/>
            <w:right w:val="none" w:sz="0" w:space="0" w:color="auto"/>
          </w:divBdr>
        </w:div>
      </w:divsChild>
    </w:div>
    <w:div w:id="1615214614">
      <w:bodyDiv w:val="1"/>
      <w:marLeft w:val="0"/>
      <w:marRight w:val="0"/>
      <w:marTop w:val="0"/>
      <w:marBottom w:val="0"/>
      <w:divBdr>
        <w:top w:val="none" w:sz="0" w:space="0" w:color="auto"/>
        <w:left w:val="none" w:sz="0" w:space="0" w:color="auto"/>
        <w:bottom w:val="none" w:sz="0" w:space="0" w:color="auto"/>
        <w:right w:val="none" w:sz="0" w:space="0" w:color="auto"/>
      </w:divBdr>
      <w:divsChild>
        <w:div w:id="556167221">
          <w:marLeft w:val="0"/>
          <w:marRight w:val="0"/>
          <w:marTop w:val="0"/>
          <w:marBottom w:val="0"/>
          <w:divBdr>
            <w:top w:val="none" w:sz="0" w:space="0" w:color="auto"/>
            <w:left w:val="none" w:sz="0" w:space="0" w:color="auto"/>
            <w:bottom w:val="none" w:sz="0" w:space="0" w:color="auto"/>
            <w:right w:val="none" w:sz="0" w:space="0" w:color="auto"/>
          </w:divBdr>
        </w:div>
        <w:div w:id="1378356264">
          <w:marLeft w:val="0"/>
          <w:marRight w:val="0"/>
          <w:marTop w:val="0"/>
          <w:marBottom w:val="0"/>
          <w:divBdr>
            <w:top w:val="none" w:sz="0" w:space="0" w:color="auto"/>
            <w:left w:val="none" w:sz="0" w:space="0" w:color="auto"/>
            <w:bottom w:val="none" w:sz="0" w:space="0" w:color="auto"/>
            <w:right w:val="none" w:sz="0" w:space="0" w:color="auto"/>
          </w:divBdr>
        </w:div>
      </w:divsChild>
    </w:div>
    <w:div w:id="1686789655">
      <w:bodyDiv w:val="1"/>
      <w:marLeft w:val="0"/>
      <w:marRight w:val="0"/>
      <w:marTop w:val="0"/>
      <w:marBottom w:val="0"/>
      <w:divBdr>
        <w:top w:val="none" w:sz="0" w:space="0" w:color="auto"/>
        <w:left w:val="none" w:sz="0" w:space="0" w:color="auto"/>
        <w:bottom w:val="none" w:sz="0" w:space="0" w:color="auto"/>
        <w:right w:val="none" w:sz="0" w:space="0" w:color="auto"/>
      </w:divBdr>
      <w:divsChild>
        <w:div w:id="579827317">
          <w:marLeft w:val="0"/>
          <w:marRight w:val="0"/>
          <w:marTop w:val="0"/>
          <w:marBottom w:val="0"/>
          <w:divBdr>
            <w:top w:val="none" w:sz="0" w:space="0" w:color="auto"/>
            <w:left w:val="none" w:sz="0" w:space="0" w:color="auto"/>
            <w:bottom w:val="none" w:sz="0" w:space="0" w:color="auto"/>
            <w:right w:val="none" w:sz="0" w:space="0" w:color="auto"/>
          </w:divBdr>
        </w:div>
        <w:div w:id="364864989">
          <w:marLeft w:val="0"/>
          <w:marRight w:val="0"/>
          <w:marTop w:val="0"/>
          <w:marBottom w:val="0"/>
          <w:divBdr>
            <w:top w:val="none" w:sz="0" w:space="0" w:color="auto"/>
            <w:left w:val="none" w:sz="0" w:space="0" w:color="auto"/>
            <w:bottom w:val="none" w:sz="0" w:space="0" w:color="auto"/>
            <w:right w:val="none" w:sz="0" w:space="0" w:color="auto"/>
          </w:divBdr>
        </w:div>
      </w:divsChild>
    </w:div>
    <w:div w:id="1711145755">
      <w:bodyDiv w:val="1"/>
      <w:marLeft w:val="0"/>
      <w:marRight w:val="0"/>
      <w:marTop w:val="0"/>
      <w:marBottom w:val="0"/>
      <w:divBdr>
        <w:top w:val="none" w:sz="0" w:space="0" w:color="auto"/>
        <w:left w:val="none" w:sz="0" w:space="0" w:color="auto"/>
        <w:bottom w:val="none" w:sz="0" w:space="0" w:color="auto"/>
        <w:right w:val="none" w:sz="0" w:space="0" w:color="auto"/>
      </w:divBdr>
      <w:divsChild>
        <w:div w:id="1720128284">
          <w:marLeft w:val="0"/>
          <w:marRight w:val="0"/>
          <w:marTop w:val="0"/>
          <w:marBottom w:val="0"/>
          <w:divBdr>
            <w:top w:val="none" w:sz="0" w:space="0" w:color="auto"/>
            <w:left w:val="none" w:sz="0" w:space="0" w:color="auto"/>
            <w:bottom w:val="none" w:sz="0" w:space="0" w:color="auto"/>
            <w:right w:val="none" w:sz="0" w:space="0" w:color="auto"/>
          </w:divBdr>
        </w:div>
        <w:div w:id="858549522">
          <w:marLeft w:val="0"/>
          <w:marRight w:val="0"/>
          <w:marTop w:val="0"/>
          <w:marBottom w:val="0"/>
          <w:divBdr>
            <w:top w:val="none" w:sz="0" w:space="0" w:color="auto"/>
            <w:left w:val="none" w:sz="0" w:space="0" w:color="auto"/>
            <w:bottom w:val="none" w:sz="0" w:space="0" w:color="auto"/>
            <w:right w:val="none" w:sz="0" w:space="0" w:color="auto"/>
          </w:divBdr>
        </w:div>
      </w:divsChild>
    </w:div>
    <w:div w:id="1768650470">
      <w:bodyDiv w:val="1"/>
      <w:marLeft w:val="0"/>
      <w:marRight w:val="0"/>
      <w:marTop w:val="0"/>
      <w:marBottom w:val="0"/>
      <w:divBdr>
        <w:top w:val="none" w:sz="0" w:space="0" w:color="auto"/>
        <w:left w:val="none" w:sz="0" w:space="0" w:color="auto"/>
        <w:bottom w:val="none" w:sz="0" w:space="0" w:color="auto"/>
        <w:right w:val="none" w:sz="0" w:space="0" w:color="auto"/>
      </w:divBdr>
      <w:divsChild>
        <w:div w:id="1302006351">
          <w:marLeft w:val="0"/>
          <w:marRight w:val="0"/>
          <w:marTop w:val="0"/>
          <w:marBottom w:val="0"/>
          <w:divBdr>
            <w:top w:val="none" w:sz="0" w:space="0" w:color="auto"/>
            <w:left w:val="none" w:sz="0" w:space="0" w:color="auto"/>
            <w:bottom w:val="none" w:sz="0" w:space="0" w:color="auto"/>
            <w:right w:val="none" w:sz="0" w:space="0" w:color="auto"/>
          </w:divBdr>
        </w:div>
        <w:div w:id="1079330520">
          <w:marLeft w:val="0"/>
          <w:marRight w:val="0"/>
          <w:marTop w:val="0"/>
          <w:marBottom w:val="0"/>
          <w:divBdr>
            <w:top w:val="none" w:sz="0" w:space="0" w:color="auto"/>
            <w:left w:val="none" w:sz="0" w:space="0" w:color="auto"/>
            <w:bottom w:val="none" w:sz="0" w:space="0" w:color="auto"/>
            <w:right w:val="none" w:sz="0" w:space="0" w:color="auto"/>
          </w:divBdr>
          <w:divsChild>
            <w:div w:id="13430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44292">
      <w:bodyDiv w:val="1"/>
      <w:marLeft w:val="0"/>
      <w:marRight w:val="0"/>
      <w:marTop w:val="0"/>
      <w:marBottom w:val="0"/>
      <w:divBdr>
        <w:top w:val="none" w:sz="0" w:space="0" w:color="auto"/>
        <w:left w:val="none" w:sz="0" w:space="0" w:color="auto"/>
        <w:bottom w:val="none" w:sz="0" w:space="0" w:color="auto"/>
        <w:right w:val="none" w:sz="0" w:space="0" w:color="auto"/>
      </w:divBdr>
      <w:divsChild>
        <w:div w:id="294987903">
          <w:marLeft w:val="0"/>
          <w:marRight w:val="0"/>
          <w:marTop w:val="0"/>
          <w:marBottom w:val="0"/>
          <w:divBdr>
            <w:top w:val="none" w:sz="0" w:space="0" w:color="auto"/>
            <w:left w:val="none" w:sz="0" w:space="0" w:color="auto"/>
            <w:bottom w:val="none" w:sz="0" w:space="0" w:color="auto"/>
            <w:right w:val="none" w:sz="0" w:space="0" w:color="auto"/>
          </w:divBdr>
        </w:div>
        <w:div w:id="786434335">
          <w:marLeft w:val="0"/>
          <w:marRight w:val="0"/>
          <w:marTop w:val="0"/>
          <w:marBottom w:val="0"/>
          <w:divBdr>
            <w:top w:val="none" w:sz="0" w:space="0" w:color="auto"/>
            <w:left w:val="none" w:sz="0" w:space="0" w:color="auto"/>
            <w:bottom w:val="none" w:sz="0" w:space="0" w:color="auto"/>
            <w:right w:val="none" w:sz="0" w:space="0" w:color="auto"/>
          </w:divBdr>
        </w:div>
      </w:divsChild>
    </w:div>
    <w:div w:id="1821726460">
      <w:bodyDiv w:val="1"/>
      <w:marLeft w:val="0"/>
      <w:marRight w:val="0"/>
      <w:marTop w:val="0"/>
      <w:marBottom w:val="0"/>
      <w:divBdr>
        <w:top w:val="none" w:sz="0" w:space="0" w:color="auto"/>
        <w:left w:val="none" w:sz="0" w:space="0" w:color="auto"/>
        <w:bottom w:val="none" w:sz="0" w:space="0" w:color="auto"/>
        <w:right w:val="none" w:sz="0" w:space="0" w:color="auto"/>
      </w:divBdr>
      <w:divsChild>
        <w:div w:id="752892580">
          <w:marLeft w:val="0"/>
          <w:marRight w:val="0"/>
          <w:marTop w:val="0"/>
          <w:marBottom w:val="0"/>
          <w:divBdr>
            <w:top w:val="none" w:sz="0" w:space="0" w:color="auto"/>
            <w:left w:val="none" w:sz="0" w:space="0" w:color="auto"/>
            <w:bottom w:val="none" w:sz="0" w:space="0" w:color="auto"/>
            <w:right w:val="none" w:sz="0" w:space="0" w:color="auto"/>
          </w:divBdr>
        </w:div>
        <w:div w:id="799299366">
          <w:marLeft w:val="0"/>
          <w:marRight w:val="0"/>
          <w:marTop w:val="0"/>
          <w:marBottom w:val="0"/>
          <w:divBdr>
            <w:top w:val="none" w:sz="0" w:space="0" w:color="auto"/>
            <w:left w:val="none" w:sz="0" w:space="0" w:color="auto"/>
            <w:bottom w:val="none" w:sz="0" w:space="0" w:color="auto"/>
            <w:right w:val="none" w:sz="0" w:space="0" w:color="auto"/>
          </w:divBdr>
        </w:div>
      </w:divsChild>
    </w:div>
    <w:div w:id="2016883946">
      <w:bodyDiv w:val="1"/>
      <w:marLeft w:val="0"/>
      <w:marRight w:val="0"/>
      <w:marTop w:val="0"/>
      <w:marBottom w:val="0"/>
      <w:divBdr>
        <w:top w:val="none" w:sz="0" w:space="0" w:color="auto"/>
        <w:left w:val="none" w:sz="0" w:space="0" w:color="auto"/>
        <w:bottom w:val="none" w:sz="0" w:space="0" w:color="auto"/>
        <w:right w:val="none" w:sz="0" w:space="0" w:color="auto"/>
      </w:divBdr>
      <w:divsChild>
        <w:div w:id="525018376">
          <w:marLeft w:val="0"/>
          <w:marRight w:val="0"/>
          <w:marTop w:val="0"/>
          <w:marBottom w:val="0"/>
          <w:divBdr>
            <w:top w:val="none" w:sz="0" w:space="0" w:color="auto"/>
            <w:left w:val="none" w:sz="0" w:space="0" w:color="auto"/>
            <w:bottom w:val="none" w:sz="0" w:space="0" w:color="auto"/>
            <w:right w:val="none" w:sz="0" w:space="0" w:color="auto"/>
          </w:divBdr>
        </w:div>
        <w:div w:id="689722710">
          <w:marLeft w:val="0"/>
          <w:marRight w:val="0"/>
          <w:marTop w:val="0"/>
          <w:marBottom w:val="0"/>
          <w:divBdr>
            <w:top w:val="none" w:sz="0" w:space="0" w:color="auto"/>
            <w:left w:val="none" w:sz="0" w:space="0" w:color="auto"/>
            <w:bottom w:val="none" w:sz="0" w:space="0" w:color="auto"/>
            <w:right w:val="none" w:sz="0" w:space="0" w:color="auto"/>
          </w:divBdr>
        </w:div>
      </w:divsChild>
    </w:div>
    <w:div w:id="2019233190">
      <w:bodyDiv w:val="1"/>
      <w:marLeft w:val="0"/>
      <w:marRight w:val="0"/>
      <w:marTop w:val="0"/>
      <w:marBottom w:val="0"/>
      <w:divBdr>
        <w:top w:val="none" w:sz="0" w:space="0" w:color="auto"/>
        <w:left w:val="none" w:sz="0" w:space="0" w:color="auto"/>
        <w:bottom w:val="none" w:sz="0" w:space="0" w:color="auto"/>
        <w:right w:val="none" w:sz="0" w:space="0" w:color="auto"/>
      </w:divBdr>
      <w:divsChild>
        <w:div w:id="2131699997">
          <w:marLeft w:val="0"/>
          <w:marRight w:val="0"/>
          <w:marTop w:val="0"/>
          <w:marBottom w:val="0"/>
          <w:divBdr>
            <w:top w:val="none" w:sz="0" w:space="0" w:color="auto"/>
            <w:left w:val="none" w:sz="0" w:space="0" w:color="auto"/>
            <w:bottom w:val="none" w:sz="0" w:space="0" w:color="auto"/>
            <w:right w:val="none" w:sz="0" w:space="0" w:color="auto"/>
          </w:divBdr>
        </w:div>
        <w:div w:id="1491212039">
          <w:marLeft w:val="0"/>
          <w:marRight w:val="0"/>
          <w:marTop w:val="0"/>
          <w:marBottom w:val="0"/>
          <w:divBdr>
            <w:top w:val="none" w:sz="0" w:space="0" w:color="auto"/>
            <w:left w:val="none" w:sz="0" w:space="0" w:color="auto"/>
            <w:bottom w:val="none" w:sz="0" w:space="0" w:color="auto"/>
            <w:right w:val="none" w:sz="0" w:space="0" w:color="auto"/>
          </w:divBdr>
        </w:div>
      </w:divsChild>
    </w:div>
    <w:div w:id="2025858108">
      <w:bodyDiv w:val="1"/>
      <w:marLeft w:val="0"/>
      <w:marRight w:val="0"/>
      <w:marTop w:val="0"/>
      <w:marBottom w:val="0"/>
      <w:divBdr>
        <w:top w:val="none" w:sz="0" w:space="0" w:color="auto"/>
        <w:left w:val="none" w:sz="0" w:space="0" w:color="auto"/>
        <w:bottom w:val="none" w:sz="0" w:space="0" w:color="auto"/>
        <w:right w:val="none" w:sz="0" w:space="0" w:color="auto"/>
      </w:divBdr>
      <w:divsChild>
        <w:div w:id="1854299377">
          <w:marLeft w:val="0"/>
          <w:marRight w:val="0"/>
          <w:marTop w:val="0"/>
          <w:marBottom w:val="0"/>
          <w:divBdr>
            <w:top w:val="none" w:sz="0" w:space="0" w:color="auto"/>
            <w:left w:val="none" w:sz="0" w:space="0" w:color="auto"/>
            <w:bottom w:val="none" w:sz="0" w:space="0" w:color="auto"/>
            <w:right w:val="none" w:sz="0" w:space="0" w:color="auto"/>
          </w:divBdr>
        </w:div>
        <w:div w:id="1012688936">
          <w:marLeft w:val="0"/>
          <w:marRight w:val="0"/>
          <w:marTop w:val="0"/>
          <w:marBottom w:val="0"/>
          <w:divBdr>
            <w:top w:val="none" w:sz="0" w:space="0" w:color="auto"/>
            <w:left w:val="none" w:sz="0" w:space="0" w:color="auto"/>
            <w:bottom w:val="none" w:sz="0" w:space="0" w:color="auto"/>
            <w:right w:val="none" w:sz="0" w:space="0" w:color="auto"/>
          </w:divBdr>
        </w:div>
      </w:divsChild>
    </w:div>
    <w:div w:id="2095784764">
      <w:bodyDiv w:val="1"/>
      <w:marLeft w:val="0"/>
      <w:marRight w:val="0"/>
      <w:marTop w:val="0"/>
      <w:marBottom w:val="0"/>
      <w:divBdr>
        <w:top w:val="none" w:sz="0" w:space="0" w:color="auto"/>
        <w:left w:val="none" w:sz="0" w:space="0" w:color="auto"/>
        <w:bottom w:val="none" w:sz="0" w:space="0" w:color="auto"/>
        <w:right w:val="none" w:sz="0" w:space="0" w:color="auto"/>
      </w:divBdr>
      <w:divsChild>
        <w:div w:id="744838521">
          <w:marLeft w:val="0"/>
          <w:marRight w:val="0"/>
          <w:marTop w:val="0"/>
          <w:marBottom w:val="0"/>
          <w:divBdr>
            <w:top w:val="none" w:sz="0" w:space="0" w:color="auto"/>
            <w:left w:val="none" w:sz="0" w:space="0" w:color="auto"/>
            <w:bottom w:val="none" w:sz="0" w:space="0" w:color="auto"/>
            <w:right w:val="none" w:sz="0" w:space="0" w:color="auto"/>
          </w:divBdr>
        </w:div>
        <w:div w:id="886113680">
          <w:marLeft w:val="0"/>
          <w:marRight w:val="0"/>
          <w:marTop w:val="0"/>
          <w:marBottom w:val="0"/>
          <w:divBdr>
            <w:top w:val="none" w:sz="0" w:space="0" w:color="auto"/>
            <w:left w:val="none" w:sz="0" w:space="0" w:color="auto"/>
            <w:bottom w:val="none" w:sz="0" w:space="0" w:color="auto"/>
            <w:right w:val="none" w:sz="0" w:space="0" w:color="auto"/>
          </w:divBdr>
        </w:div>
      </w:divsChild>
    </w:div>
    <w:div w:id="2099250061">
      <w:bodyDiv w:val="1"/>
      <w:marLeft w:val="0"/>
      <w:marRight w:val="0"/>
      <w:marTop w:val="0"/>
      <w:marBottom w:val="0"/>
      <w:divBdr>
        <w:top w:val="none" w:sz="0" w:space="0" w:color="auto"/>
        <w:left w:val="none" w:sz="0" w:space="0" w:color="auto"/>
        <w:bottom w:val="none" w:sz="0" w:space="0" w:color="auto"/>
        <w:right w:val="none" w:sz="0" w:space="0" w:color="auto"/>
      </w:divBdr>
      <w:divsChild>
        <w:div w:id="1358654577">
          <w:marLeft w:val="0"/>
          <w:marRight w:val="0"/>
          <w:marTop w:val="0"/>
          <w:marBottom w:val="0"/>
          <w:divBdr>
            <w:top w:val="none" w:sz="0" w:space="0" w:color="auto"/>
            <w:left w:val="none" w:sz="0" w:space="0" w:color="auto"/>
            <w:bottom w:val="none" w:sz="0" w:space="0" w:color="auto"/>
            <w:right w:val="none" w:sz="0" w:space="0" w:color="auto"/>
          </w:divBdr>
        </w:div>
        <w:div w:id="1718970242">
          <w:marLeft w:val="0"/>
          <w:marRight w:val="0"/>
          <w:marTop w:val="0"/>
          <w:marBottom w:val="0"/>
          <w:divBdr>
            <w:top w:val="none" w:sz="0" w:space="0" w:color="auto"/>
            <w:left w:val="none" w:sz="0" w:space="0" w:color="auto"/>
            <w:bottom w:val="none" w:sz="0" w:space="0" w:color="auto"/>
            <w:right w:val="none" w:sz="0" w:space="0" w:color="auto"/>
          </w:divBdr>
        </w:div>
      </w:divsChild>
    </w:div>
    <w:div w:id="2138064975">
      <w:bodyDiv w:val="1"/>
      <w:marLeft w:val="0"/>
      <w:marRight w:val="0"/>
      <w:marTop w:val="0"/>
      <w:marBottom w:val="0"/>
      <w:divBdr>
        <w:top w:val="none" w:sz="0" w:space="0" w:color="auto"/>
        <w:left w:val="none" w:sz="0" w:space="0" w:color="auto"/>
        <w:bottom w:val="none" w:sz="0" w:space="0" w:color="auto"/>
        <w:right w:val="none" w:sz="0" w:space="0" w:color="auto"/>
      </w:divBdr>
      <w:divsChild>
        <w:div w:id="915437423">
          <w:marLeft w:val="0"/>
          <w:marRight w:val="0"/>
          <w:marTop w:val="0"/>
          <w:marBottom w:val="0"/>
          <w:divBdr>
            <w:top w:val="none" w:sz="0" w:space="0" w:color="auto"/>
            <w:left w:val="none" w:sz="0" w:space="0" w:color="auto"/>
            <w:bottom w:val="none" w:sz="0" w:space="0" w:color="auto"/>
            <w:right w:val="none" w:sz="0" w:space="0" w:color="auto"/>
          </w:divBdr>
        </w:div>
        <w:div w:id="2105568303">
          <w:marLeft w:val="0"/>
          <w:marRight w:val="0"/>
          <w:marTop w:val="0"/>
          <w:marBottom w:val="0"/>
          <w:divBdr>
            <w:top w:val="none" w:sz="0" w:space="0" w:color="auto"/>
            <w:left w:val="none" w:sz="0" w:space="0" w:color="auto"/>
            <w:bottom w:val="none" w:sz="0" w:space="0" w:color="auto"/>
            <w:right w:val="none" w:sz="0" w:space="0" w:color="auto"/>
          </w:divBdr>
        </w:div>
      </w:divsChild>
    </w:div>
    <w:div w:id="2143226597">
      <w:bodyDiv w:val="1"/>
      <w:marLeft w:val="0"/>
      <w:marRight w:val="0"/>
      <w:marTop w:val="0"/>
      <w:marBottom w:val="0"/>
      <w:divBdr>
        <w:top w:val="none" w:sz="0" w:space="0" w:color="auto"/>
        <w:left w:val="none" w:sz="0" w:space="0" w:color="auto"/>
        <w:bottom w:val="none" w:sz="0" w:space="0" w:color="auto"/>
        <w:right w:val="none" w:sz="0" w:space="0" w:color="auto"/>
      </w:divBdr>
      <w:divsChild>
        <w:div w:id="1291593318">
          <w:marLeft w:val="0"/>
          <w:marRight w:val="0"/>
          <w:marTop w:val="0"/>
          <w:marBottom w:val="0"/>
          <w:divBdr>
            <w:top w:val="none" w:sz="0" w:space="0" w:color="auto"/>
            <w:left w:val="none" w:sz="0" w:space="0" w:color="auto"/>
            <w:bottom w:val="none" w:sz="0" w:space="0" w:color="auto"/>
            <w:right w:val="none" w:sz="0" w:space="0" w:color="auto"/>
          </w:divBdr>
        </w:div>
        <w:div w:id="7522401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9473</Words>
  <Characters>54002</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63349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2</cp:revision>
  <dcterms:created xsi:type="dcterms:W3CDTF">2010-08-16T11:07:00Z</dcterms:created>
  <dcterms:modified xsi:type="dcterms:W3CDTF">2010-08-16T11:07:00Z</dcterms:modified>
</cp:coreProperties>
</file>