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8B0" w:rsidRPr="002D08B0" w:rsidRDefault="002D08B0" w:rsidP="002D08B0">
      <w:pPr>
        <w:spacing w:after="0" w:line="240" w:lineRule="auto"/>
        <w:jc w:val="right"/>
        <w:rPr>
          <w:rFonts w:ascii="Times New Roman" w:eastAsia="Times New Roman" w:hAnsi="Times New Roman" w:cs="B Nazanin"/>
          <w:sz w:val="24"/>
          <w:szCs w:val="24"/>
        </w:rPr>
      </w:pPr>
    </w:p>
    <w:p w:rsidR="002D08B0" w:rsidRPr="002D08B0" w:rsidRDefault="002D08B0" w:rsidP="002D08B0">
      <w:pPr>
        <w:spacing w:after="0"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b/>
          <w:bCs/>
          <w:color w:val="DD0066"/>
          <w:sz w:val="24"/>
          <w:szCs w:val="24"/>
          <w:rtl/>
        </w:rPr>
        <w:t>استاندارد بین المللی گزارشگری مالی شماره 8 قسمتهای عملیاتی</w:t>
      </w:r>
      <w:r w:rsidRPr="002D08B0">
        <w:rPr>
          <w:rFonts w:ascii="Times New Roman" w:eastAsia="Times New Roman" w:hAnsi="Times New Roman" w:cs="B Nazanin"/>
          <w:sz w:val="24"/>
          <w:szCs w:val="24"/>
          <w:rtl/>
        </w:rPr>
        <w:t xml:space="preserve"> </w:t>
      </w:r>
    </w:p>
    <w:p w:rsidR="002D08B0" w:rsidRPr="002D08B0" w:rsidRDefault="002D08B0" w:rsidP="002D08B0">
      <w:pPr>
        <w:spacing w:before="100" w:beforeAutospacing="1" w:after="100" w:afterAutospacing="1"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Pr>
        <w:t> </w:t>
      </w:r>
    </w:p>
    <w:p w:rsidR="002D08B0" w:rsidRPr="002D08B0" w:rsidRDefault="002D08B0" w:rsidP="002D08B0">
      <w:pPr>
        <w:spacing w:before="100" w:beforeAutospacing="1" w:after="100" w:afterAutospacing="1"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noProof/>
          <w:sz w:val="24"/>
          <w:szCs w:val="24"/>
        </w:rPr>
        <w:drawing>
          <wp:anchor distT="47625" distB="47625" distL="47625" distR="47625" simplePos="0" relativeHeight="251658240" behindDoc="0" locked="0" layoutInCell="1" allowOverlap="0">
            <wp:simplePos x="0" y="0"/>
            <wp:positionH relativeFrom="column">
              <wp:align>right</wp:align>
            </wp:positionH>
            <wp:positionV relativeFrom="line">
              <wp:posOffset>0</wp:posOffset>
            </wp:positionV>
            <wp:extent cx="2857500" cy="2800350"/>
            <wp:effectExtent l="19050" t="0" r="0" b="0"/>
            <wp:wrapSquare wrapText="bothSides"/>
            <wp:docPr id="15" name="Picture 6" descr="http://www.hesabras.org/Portals/_Rainbow/images/default/53/stand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hesabras.org/Portals/_Rainbow/images/default/53/standard.jpg"/>
                    <pic:cNvPicPr>
                      <a:picLocks noChangeAspect="1" noChangeArrowheads="1"/>
                    </pic:cNvPicPr>
                  </pic:nvPicPr>
                  <pic:blipFill>
                    <a:blip r:embed="rId4"/>
                    <a:srcRect/>
                    <a:stretch>
                      <a:fillRect/>
                    </a:stretch>
                  </pic:blipFill>
                  <pic:spPr bwMode="auto">
                    <a:xfrm>
                      <a:off x="0" y="0"/>
                      <a:ext cx="2857500" cy="2800350"/>
                    </a:xfrm>
                    <a:prstGeom prst="rect">
                      <a:avLst/>
                    </a:prstGeom>
                    <a:noFill/>
                    <a:ln w="9525">
                      <a:noFill/>
                      <a:miter lim="800000"/>
                      <a:headEnd/>
                      <a:tailEnd/>
                    </a:ln>
                  </pic:spPr>
                </pic:pic>
              </a:graphicData>
            </a:graphic>
          </wp:anchor>
        </w:drawing>
      </w:r>
      <w:r w:rsidRPr="002D08B0">
        <w:rPr>
          <w:rFonts w:ascii="Times New Roman" w:eastAsia="Times New Roman" w:hAnsi="Times New Roman" w:cs="B Nazanin"/>
          <w:color w:val="000080"/>
          <w:sz w:val="24"/>
          <w:szCs w:val="24"/>
        </w:rPr>
        <w:t> </w:t>
      </w:r>
      <w:r w:rsidRPr="002D08B0">
        <w:rPr>
          <w:rFonts w:ascii="Times New Roman" w:eastAsia="Times New Roman" w:hAnsi="Times New Roman" w:cs="B Nazanin"/>
          <w:b/>
          <w:bCs/>
          <w:color w:val="000080"/>
          <w:sz w:val="24"/>
          <w:szCs w:val="24"/>
          <w:rtl/>
        </w:rPr>
        <w:t>ترجمه</w:t>
      </w:r>
      <w:r w:rsidRPr="002D08B0">
        <w:rPr>
          <w:rFonts w:ascii="Times New Roman" w:eastAsia="Times New Roman" w:hAnsi="Times New Roman" w:cs="B Nazanin"/>
          <w:b/>
          <w:bCs/>
          <w:color w:val="000080"/>
          <w:sz w:val="24"/>
          <w:szCs w:val="24"/>
        </w:rPr>
        <w:t xml:space="preserve">: </w:t>
      </w:r>
      <w:r w:rsidRPr="002D08B0">
        <w:rPr>
          <w:rFonts w:ascii="Times New Roman" w:eastAsia="Times New Roman" w:hAnsi="Times New Roman" w:cs="B Nazanin"/>
          <w:b/>
          <w:bCs/>
          <w:color w:val="000080"/>
          <w:sz w:val="24"/>
          <w:szCs w:val="24"/>
          <w:rtl/>
        </w:rPr>
        <w:t>الهام حمیدی</w:t>
      </w:r>
      <w:r w:rsidRPr="002D08B0">
        <w:rPr>
          <w:rFonts w:ascii="Times New Roman" w:eastAsia="Times New Roman" w:hAnsi="Times New Roman" w:cs="B Nazanin"/>
          <w:color w:val="000080"/>
          <w:sz w:val="24"/>
          <w:szCs w:val="24"/>
        </w:rPr>
        <w:br/>
      </w:r>
      <w:r w:rsidRPr="002D08B0">
        <w:rPr>
          <w:rFonts w:ascii="Times New Roman" w:eastAsia="Times New Roman" w:hAnsi="Times New Roman" w:cs="B Nazanin"/>
          <w:b/>
          <w:bCs/>
          <w:color w:val="000080"/>
          <w:sz w:val="24"/>
          <w:szCs w:val="24"/>
        </w:rPr>
        <w:t>P. Robins</w:t>
      </w: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Pr>
        <w:br/>
        <w:t> </w:t>
      </w:r>
    </w:p>
    <w:p w:rsidR="002D08B0" w:rsidRPr="002D08B0" w:rsidRDefault="002D08B0" w:rsidP="002D08B0">
      <w:pPr>
        <w:spacing w:before="100" w:beforeAutospacing="1" w:after="100" w:afterAutospacing="1"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tl/>
        </w:rPr>
        <w:t>اگر برای دستیابی به بهبود حرفه‌ای مستمر</w:t>
      </w:r>
      <w:r w:rsidRPr="002D08B0">
        <w:rPr>
          <w:rFonts w:ascii="Times New Roman" w:eastAsia="Times New Roman" w:hAnsi="Times New Roman" w:cs="B Nazanin"/>
          <w:sz w:val="24"/>
          <w:szCs w:val="24"/>
          <w:vertAlign w:val="superscript"/>
        </w:rPr>
        <w:t>1</w:t>
      </w:r>
      <w:r w:rsidRPr="002D08B0">
        <w:rPr>
          <w:rFonts w:ascii="Times New Roman" w:eastAsia="Times New Roman" w:hAnsi="Times New Roman" w:cs="B Nazanin"/>
          <w:sz w:val="24"/>
          <w:szCs w:val="24"/>
        </w:rPr>
        <w:t xml:space="preserve"> </w:t>
      </w:r>
      <w:r w:rsidRPr="002D08B0">
        <w:rPr>
          <w:rFonts w:ascii="Times New Roman" w:eastAsia="Times New Roman" w:hAnsi="Times New Roman" w:cs="B Nazanin"/>
          <w:sz w:val="24"/>
          <w:szCs w:val="24"/>
          <w:rtl/>
        </w:rPr>
        <w:t>در مسیری واحد</w:t>
      </w:r>
      <w:r w:rsidRPr="002D08B0">
        <w:rPr>
          <w:rFonts w:ascii="Times New Roman" w:eastAsia="Times New Roman" w:hAnsi="Times New Roman" w:cs="B Nazanin"/>
          <w:sz w:val="24"/>
          <w:szCs w:val="24"/>
          <w:vertAlign w:val="superscript"/>
        </w:rPr>
        <w:t>2</w:t>
      </w:r>
      <w:r w:rsidRPr="002D08B0">
        <w:rPr>
          <w:rFonts w:ascii="Times New Roman" w:eastAsia="Times New Roman" w:hAnsi="Times New Roman" w:cs="B Nazanin"/>
          <w:sz w:val="24"/>
          <w:szCs w:val="24"/>
        </w:rPr>
        <w:t xml:space="preserve"> </w:t>
      </w:r>
      <w:r w:rsidRPr="002D08B0">
        <w:rPr>
          <w:rFonts w:ascii="Times New Roman" w:eastAsia="Times New Roman" w:hAnsi="Times New Roman" w:cs="B Nazanin"/>
          <w:sz w:val="24"/>
          <w:szCs w:val="24"/>
          <w:rtl/>
        </w:rPr>
        <w:t>گام بر می‌دارید، مطالعه این مقاله فنی، می‌تواند بهبود حرفه‌ای مستمر شما را اندازه‌گیری کند و محتوای آن مرتبط با نیازهای آموزشی و پیشرفت حرفه‌ای شماست. با توجه به اینکه استاندارد بین‌المللی گزارشگری مالی شماره 8</w:t>
      </w:r>
      <w:r w:rsidRPr="002D08B0">
        <w:rPr>
          <w:rFonts w:ascii="Times New Roman" w:eastAsia="Times New Roman" w:hAnsi="Times New Roman" w:cs="B Nazanin"/>
          <w:sz w:val="24"/>
          <w:szCs w:val="24"/>
        </w:rPr>
        <w:t xml:space="preserve"> (IFRS 8) </w:t>
      </w:r>
      <w:r w:rsidRPr="002D08B0">
        <w:rPr>
          <w:rFonts w:ascii="Times New Roman" w:eastAsia="Times New Roman" w:hAnsi="Times New Roman" w:cs="B Nazanin"/>
          <w:sz w:val="24"/>
          <w:szCs w:val="24"/>
          <w:rtl/>
        </w:rPr>
        <w:t>با عنوان «قسمتهای عملیاتی»، با اندکی تغییرات در ایران قابل اجراست، توصیه می‌شود در فرایند بهبود حرفه‌ای مستمر خود از این مقاله به‌عنوان رهنمود استفاده کنید</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tl/>
        </w:rPr>
        <w:t>در نوامبر سال 2006، هیئت استانداردهای بین‌المللی حسابداری</w:t>
      </w:r>
      <w:r w:rsidRPr="002D08B0">
        <w:rPr>
          <w:rFonts w:ascii="Times New Roman" w:eastAsia="Times New Roman" w:hAnsi="Times New Roman" w:cs="B Nazanin"/>
          <w:sz w:val="24"/>
          <w:szCs w:val="24"/>
          <w:vertAlign w:val="superscript"/>
        </w:rPr>
        <w:t>3</w:t>
      </w:r>
      <w:r w:rsidRPr="002D08B0">
        <w:rPr>
          <w:rFonts w:ascii="Times New Roman" w:eastAsia="Times New Roman" w:hAnsi="Times New Roman" w:cs="B Nazanin"/>
          <w:sz w:val="24"/>
          <w:szCs w:val="24"/>
          <w:rtl/>
        </w:rPr>
        <w:t>، استاندارد بین‌المللی گزارشگری مالی شماره 8 با عنوان «قسمتهای عملیاتی</w:t>
      </w:r>
      <w:r w:rsidRPr="002D08B0">
        <w:rPr>
          <w:rFonts w:ascii="Times New Roman" w:eastAsia="Times New Roman" w:hAnsi="Times New Roman" w:cs="B Nazanin"/>
          <w:sz w:val="24"/>
          <w:szCs w:val="24"/>
        </w:rPr>
        <w:t xml:space="preserve">» </w:t>
      </w:r>
      <w:r w:rsidRPr="002D08B0">
        <w:rPr>
          <w:rFonts w:ascii="Times New Roman" w:eastAsia="Times New Roman" w:hAnsi="Times New Roman" w:cs="B Nazanin"/>
          <w:sz w:val="24"/>
          <w:szCs w:val="24"/>
          <w:rtl/>
        </w:rPr>
        <w:t>را منتشر کرد. انتشار این استاندارد بین‌المللی گزارشگری مالی</w:t>
      </w:r>
      <w:r w:rsidRPr="002D08B0">
        <w:rPr>
          <w:rFonts w:ascii="Times New Roman" w:eastAsia="Times New Roman" w:hAnsi="Times New Roman" w:cs="B Nazanin"/>
          <w:sz w:val="24"/>
          <w:szCs w:val="24"/>
          <w:vertAlign w:val="superscript"/>
        </w:rPr>
        <w:t>4</w:t>
      </w:r>
      <w:r w:rsidRPr="002D08B0">
        <w:rPr>
          <w:rFonts w:ascii="Times New Roman" w:eastAsia="Times New Roman" w:hAnsi="Times New Roman" w:cs="B Nazanin"/>
          <w:sz w:val="24"/>
          <w:szCs w:val="24"/>
          <w:rtl/>
        </w:rPr>
        <w:t>، نتیجه مذاکرات مستمر میان ‌هیئت استانداردهای بین‌المللی حسابداری و ‌هیئت استانداردهای حسابداری مالی امریکا</w:t>
      </w:r>
      <w:r w:rsidRPr="002D08B0">
        <w:rPr>
          <w:rFonts w:ascii="Times New Roman" w:eastAsia="Times New Roman" w:hAnsi="Times New Roman" w:cs="B Nazanin"/>
          <w:sz w:val="24"/>
          <w:szCs w:val="24"/>
          <w:vertAlign w:val="superscript"/>
        </w:rPr>
        <w:t>5</w:t>
      </w:r>
      <w:r w:rsidRPr="002D08B0">
        <w:rPr>
          <w:rFonts w:ascii="Times New Roman" w:eastAsia="Times New Roman" w:hAnsi="Times New Roman" w:cs="B Nazanin"/>
          <w:sz w:val="24"/>
          <w:szCs w:val="24"/>
          <w:rtl/>
        </w:rPr>
        <w:t>ست</w:t>
      </w:r>
      <w:r w:rsidRPr="002D08B0">
        <w:rPr>
          <w:rFonts w:ascii="Times New Roman" w:eastAsia="Times New Roman" w:hAnsi="Times New Roman" w:cs="B Nazanin"/>
          <w:sz w:val="24"/>
          <w:szCs w:val="24"/>
        </w:rPr>
        <w:t xml:space="preserve">. </w:t>
      </w:r>
      <w:r w:rsidRPr="002D08B0">
        <w:rPr>
          <w:rFonts w:ascii="Times New Roman" w:eastAsia="Times New Roman" w:hAnsi="Times New Roman" w:cs="B Nazanin"/>
          <w:sz w:val="24"/>
          <w:szCs w:val="24"/>
          <w:rtl/>
        </w:rPr>
        <w:t>محتوای استاندارد بین‌المللی گزارشگری مالی شماره 8 به استاندارد امریکایی معادل خود، یعنی بیانیه استاندارد حسابداری مالی شماره131</w:t>
      </w:r>
      <w:r w:rsidRPr="002D08B0">
        <w:rPr>
          <w:rFonts w:ascii="Times New Roman" w:eastAsia="Times New Roman" w:hAnsi="Times New Roman" w:cs="B Nazanin"/>
          <w:sz w:val="24"/>
          <w:szCs w:val="24"/>
        </w:rPr>
        <w:t xml:space="preserve"> (SFAS 131)</w:t>
      </w:r>
      <w:r w:rsidRPr="002D08B0">
        <w:rPr>
          <w:rFonts w:ascii="Times New Roman" w:eastAsia="Times New Roman" w:hAnsi="Times New Roman" w:cs="B Nazanin"/>
          <w:sz w:val="24"/>
          <w:szCs w:val="24"/>
          <w:rtl/>
        </w:rPr>
        <w:t>، بسیار نزدیک است</w:t>
      </w:r>
      <w:r w:rsidRPr="002D08B0">
        <w:rPr>
          <w:rFonts w:ascii="Times New Roman" w:eastAsia="Times New Roman" w:hAnsi="Times New Roman" w:cs="B Nazanin"/>
          <w:sz w:val="24"/>
          <w:szCs w:val="24"/>
        </w:rPr>
        <w:t xml:space="preserve">. </w:t>
      </w:r>
      <w:r w:rsidRPr="002D08B0">
        <w:rPr>
          <w:rFonts w:ascii="Times New Roman" w:eastAsia="Times New Roman" w:hAnsi="Times New Roman" w:cs="B Nazanin"/>
          <w:sz w:val="24"/>
          <w:szCs w:val="24"/>
          <w:rtl/>
        </w:rPr>
        <w:t>به نظر می‌ر‌سد که یکی از دلایل تغییر در استاندارد بین‌المللی و همگرایی آن با استاندارد امریکایی معادل خود،روی خوش نشان دادن به مراجع امریکایی برای تسهیل حذف الزامات تطبیق</w:t>
      </w:r>
      <w:r w:rsidRPr="002D08B0">
        <w:rPr>
          <w:rFonts w:ascii="Times New Roman" w:eastAsia="Times New Roman" w:hAnsi="Times New Roman" w:cs="B Nazanin"/>
          <w:sz w:val="24"/>
          <w:szCs w:val="24"/>
          <w:vertAlign w:val="superscript"/>
        </w:rPr>
        <w:t>6</w:t>
      </w:r>
      <w:r w:rsidRPr="002D08B0">
        <w:rPr>
          <w:rFonts w:ascii="Times New Roman" w:eastAsia="Times New Roman" w:hAnsi="Times New Roman" w:cs="B Nazanin"/>
          <w:sz w:val="24"/>
          <w:szCs w:val="24"/>
        </w:rPr>
        <w:t xml:space="preserve"> </w:t>
      </w:r>
      <w:r w:rsidRPr="002D08B0">
        <w:rPr>
          <w:rFonts w:ascii="Times New Roman" w:eastAsia="Times New Roman" w:hAnsi="Times New Roman" w:cs="B Nazanin"/>
          <w:sz w:val="24"/>
          <w:szCs w:val="24"/>
          <w:rtl/>
        </w:rPr>
        <w:t>رویه‌های حسابداری استفاده شده طبق استانداردهای بین‌المللی با استانداردهای امریکاست که در حال حاضر برای پذیرش شرکتها در بازار سرمایه امریکا ضروری است</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Pr>
        <w:br/>
      </w:r>
      <w:r w:rsidRPr="002D08B0">
        <w:rPr>
          <w:rFonts w:ascii="Times New Roman" w:eastAsia="Times New Roman" w:hAnsi="Times New Roman" w:cs="B Nazanin"/>
          <w:b/>
          <w:bCs/>
          <w:color w:val="0B4CA6"/>
          <w:sz w:val="24"/>
          <w:szCs w:val="24"/>
          <w:rtl/>
        </w:rPr>
        <w:t>دامنه کاربرد استاندارد</w:t>
      </w: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tl/>
        </w:rPr>
        <w:t>استاندارد بین‌المللی گزارشگری مالی شماره 8، در مورد صورتهای مالی کلیه واحدهای تجاری که اوراق بدهی یا سهام آنها به عموم عرضه می‌شود یا در جریان انتشار عمومی آنهاست، کاربرد دارد. سایر واحدهای تجاری، چنانچه اطلاعات بر حسب قسمتهای مختلف را تحت عنوان اطلاعات قسمت</w:t>
      </w:r>
      <w:r w:rsidRPr="002D08B0">
        <w:rPr>
          <w:rFonts w:ascii="Times New Roman" w:eastAsia="Times New Roman" w:hAnsi="Times New Roman" w:cs="B Nazanin"/>
          <w:sz w:val="24"/>
          <w:szCs w:val="24"/>
          <w:vertAlign w:val="superscript"/>
        </w:rPr>
        <w:t>7</w:t>
      </w:r>
      <w:r w:rsidRPr="002D08B0">
        <w:rPr>
          <w:rFonts w:ascii="Times New Roman" w:eastAsia="Times New Roman" w:hAnsi="Times New Roman" w:cs="B Nazanin"/>
          <w:sz w:val="24"/>
          <w:szCs w:val="24"/>
          <w:rtl/>
        </w:rPr>
        <w:t>، داوطلبانه افشا کنند، باید الزامات این استاندارد را رعایت نمایند</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Pr>
        <w:br/>
      </w:r>
      <w:r w:rsidRPr="002D08B0">
        <w:rPr>
          <w:rFonts w:ascii="Times New Roman" w:eastAsia="Times New Roman" w:hAnsi="Times New Roman" w:cs="B Nazanin"/>
          <w:b/>
          <w:bCs/>
          <w:color w:val="0B4CA6"/>
          <w:sz w:val="24"/>
          <w:szCs w:val="24"/>
          <w:rtl/>
        </w:rPr>
        <w:t>تشخیص قسمتهای عملیاتی</w:t>
      </w: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tl/>
        </w:rPr>
        <w:t>استاندارد بین‌المللی گزارشگری مالی شماره 8، قسمت عملیاتی را جزئی از یک واحد تجاری تعریف می‌کند که</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t xml:space="preserve">• </w:t>
      </w:r>
      <w:r w:rsidRPr="002D08B0">
        <w:rPr>
          <w:rFonts w:ascii="Times New Roman" w:eastAsia="Times New Roman" w:hAnsi="Times New Roman" w:cs="B Nazanin"/>
          <w:sz w:val="24"/>
          <w:szCs w:val="24"/>
          <w:rtl/>
        </w:rPr>
        <w:t>در درامدهای حاصل از فعالیتهای واحد تجاری مشارکت داشته باشد</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t xml:space="preserve">• </w:t>
      </w:r>
      <w:r w:rsidRPr="002D08B0">
        <w:rPr>
          <w:rFonts w:ascii="Times New Roman" w:eastAsia="Times New Roman" w:hAnsi="Times New Roman" w:cs="B Nazanin"/>
          <w:sz w:val="24"/>
          <w:szCs w:val="24"/>
          <w:rtl/>
        </w:rPr>
        <w:t>نتایج عملیاتی آن، به‌طور مرتب توسط تصمیم‌گیرنده ارشد عملیاتی</w:t>
      </w:r>
      <w:r w:rsidRPr="002D08B0">
        <w:rPr>
          <w:rFonts w:ascii="Times New Roman" w:eastAsia="Times New Roman" w:hAnsi="Times New Roman" w:cs="B Nazanin"/>
          <w:sz w:val="24"/>
          <w:szCs w:val="24"/>
          <w:vertAlign w:val="superscript"/>
        </w:rPr>
        <w:t>8</w:t>
      </w:r>
      <w:r w:rsidRPr="002D08B0">
        <w:rPr>
          <w:rFonts w:ascii="Times New Roman" w:eastAsia="Times New Roman" w:hAnsi="Times New Roman" w:cs="B Nazanin"/>
          <w:sz w:val="24"/>
          <w:szCs w:val="24"/>
        </w:rPr>
        <w:t xml:space="preserve"> </w:t>
      </w:r>
      <w:r w:rsidRPr="002D08B0">
        <w:rPr>
          <w:rFonts w:ascii="Times New Roman" w:eastAsia="Times New Roman" w:hAnsi="Times New Roman" w:cs="B Nazanin"/>
          <w:sz w:val="24"/>
          <w:szCs w:val="24"/>
          <w:rtl/>
        </w:rPr>
        <w:t>بررسی شود؛ در استاندارد بین‌المللی گزارشگری مالی شماره 8 اصطلاح «تصمیم گیرنده ارشد عملیاتی» طوری تعریف شده است که به‌جای یک سرفصل به یک وظیفه اشاره می‌کند که اشاره‌ درستی نیست. در بعضی از واحدهای تجاری، به‌جای شخص، گروهی از مدیران به انجام وظیفه می‌پردازند</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r>
      <w:proofErr w:type="gramStart"/>
      <w:r w:rsidRPr="002D08B0">
        <w:rPr>
          <w:rFonts w:ascii="Times New Roman" w:eastAsia="Times New Roman" w:hAnsi="Times New Roman" w:cs="B Nazanin"/>
          <w:sz w:val="24"/>
          <w:szCs w:val="24"/>
        </w:rPr>
        <w:lastRenderedPageBreak/>
        <w:t xml:space="preserve">• </w:t>
      </w:r>
      <w:r w:rsidRPr="002D08B0">
        <w:rPr>
          <w:rFonts w:ascii="Times New Roman" w:eastAsia="Times New Roman" w:hAnsi="Times New Roman" w:cs="B Nazanin"/>
          <w:sz w:val="24"/>
          <w:szCs w:val="24"/>
          <w:rtl/>
        </w:rPr>
        <w:t>برای آن اطلاعات مالی جداگانه موجود باشد</w:t>
      </w:r>
      <w:r w:rsidRPr="002D08B0">
        <w:rPr>
          <w:rFonts w:ascii="Times New Roman" w:eastAsia="Times New Roman" w:hAnsi="Times New Roman" w:cs="B Nazanin"/>
          <w:sz w:val="24"/>
          <w:szCs w:val="24"/>
        </w:rPr>
        <w:t>.</w:t>
      </w:r>
      <w:proofErr w:type="gramEnd"/>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tl/>
        </w:rPr>
        <w:t>تعریف بالا نشان می‌دهد که همه بخشهای واحد تجاری، لزوماً قسمتهای عملیاتی نیستند</w:t>
      </w:r>
      <w:r w:rsidRPr="002D08B0">
        <w:rPr>
          <w:rFonts w:ascii="Times New Roman" w:eastAsia="Times New Roman" w:hAnsi="Times New Roman" w:cs="B Nazanin"/>
          <w:sz w:val="24"/>
          <w:szCs w:val="24"/>
        </w:rPr>
        <w:t xml:space="preserve">. </w:t>
      </w:r>
      <w:r w:rsidRPr="002D08B0">
        <w:rPr>
          <w:rFonts w:ascii="Times New Roman" w:eastAsia="Times New Roman" w:hAnsi="Times New Roman" w:cs="B Nazanin"/>
          <w:sz w:val="24"/>
          <w:szCs w:val="24"/>
          <w:rtl/>
        </w:rPr>
        <w:t>استاندارد بین‌المللی گزارشگری مالی شماره 8، مثال مربوط به شعبه مرکزی یک شرکت سهامی را بیان می‌کند که درامد ندارد یا به‌طور اتفاقی درامد کسب می‌کند و بنابراین نمی تواند قسمت عملیاتی باشد</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tl/>
        </w:rPr>
        <w:t>برخی از مفسران به رویکرد مدیریتی</w:t>
      </w:r>
      <w:r w:rsidRPr="002D08B0">
        <w:rPr>
          <w:rFonts w:ascii="Times New Roman" w:eastAsia="Times New Roman" w:hAnsi="Times New Roman" w:cs="B Nazanin"/>
          <w:sz w:val="24"/>
          <w:szCs w:val="24"/>
          <w:vertAlign w:val="superscript"/>
        </w:rPr>
        <w:t>9</w:t>
      </w:r>
      <w:r w:rsidRPr="002D08B0">
        <w:rPr>
          <w:rFonts w:ascii="Times New Roman" w:eastAsia="Times New Roman" w:hAnsi="Times New Roman" w:cs="B Nazanin"/>
          <w:sz w:val="24"/>
          <w:szCs w:val="24"/>
        </w:rPr>
        <w:t xml:space="preserve"> </w:t>
      </w:r>
      <w:r w:rsidRPr="002D08B0">
        <w:rPr>
          <w:rFonts w:ascii="Times New Roman" w:eastAsia="Times New Roman" w:hAnsi="Times New Roman" w:cs="B Nazanin"/>
          <w:sz w:val="24"/>
          <w:szCs w:val="24"/>
          <w:rtl/>
        </w:rPr>
        <w:t>استاندارد مبنی بر توجه بیش از اندازه به تشخیص قسمت عملیاتی بر اساس قضاوت مدیر و صلاحدید واحد تجاری، انتقاد کرده‌اند و بر این باورند که قابلیت مقایسه واحدهای تجاری مختلف از بین می‌رود</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Pr>
        <w:br/>
      </w:r>
      <w:r w:rsidRPr="002D08B0">
        <w:rPr>
          <w:rFonts w:ascii="Times New Roman" w:eastAsia="Times New Roman" w:hAnsi="Times New Roman" w:cs="B Nazanin"/>
          <w:b/>
          <w:bCs/>
          <w:color w:val="0B4CA6"/>
          <w:sz w:val="24"/>
          <w:szCs w:val="24"/>
          <w:rtl/>
        </w:rPr>
        <w:t>تشخیص قسمتهای قابل گزارش</w:t>
      </w: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tl/>
        </w:rPr>
        <w:t>پس از تشخیص قسمت عملیاتی، در صورت وجود هر یک از آستانه‌های اهمیت کمی</w:t>
      </w:r>
      <w:r w:rsidRPr="002D08B0">
        <w:rPr>
          <w:rFonts w:ascii="Times New Roman" w:eastAsia="Times New Roman" w:hAnsi="Times New Roman" w:cs="B Nazanin"/>
          <w:sz w:val="24"/>
          <w:szCs w:val="24"/>
          <w:vertAlign w:val="superscript"/>
        </w:rPr>
        <w:t>10</w:t>
      </w:r>
      <w:r w:rsidRPr="002D08B0">
        <w:rPr>
          <w:rFonts w:ascii="Times New Roman" w:eastAsia="Times New Roman" w:hAnsi="Times New Roman" w:cs="B Nazanin"/>
          <w:sz w:val="24"/>
          <w:szCs w:val="24"/>
        </w:rPr>
        <w:t xml:space="preserve"> </w:t>
      </w:r>
      <w:r w:rsidRPr="002D08B0">
        <w:rPr>
          <w:rFonts w:ascii="Times New Roman" w:eastAsia="Times New Roman" w:hAnsi="Times New Roman" w:cs="B Nazanin"/>
          <w:sz w:val="24"/>
          <w:szCs w:val="24"/>
          <w:rtl/>
        </w:rPr>
        <w:t>زیر، واحد تجاری باید اطلاعات قسمت را گزارش کند</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t xml:space="preserve">• </w:t>
      </w:r>
      <w:r w:rsidRPr="002D08B0">
        <w:rPr>
          <w:rFonts w:ascii="Times New Roman" w:eastAsia="Times New Roman" w:hAnsi="Times New Roman" w:cs="B Nazanin"/>
          <w:sz w:val="24"/>
          <w:szCs w:val="24"/>
          <w:rtl/>
        </w:rPr>
        <w:t>درامد گزارش‌شده قسمت (برون‌سازمانی و معاملات با سایر قسمتها) حداقل 10 درصد مجموع درامد تمام قسمتهای عملیاتی اعم از داخلی و برون‌سازمانی باشد</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r>
      <w:proofErr w:type="gramStart"/>
      <w:r w:rsidRPr="002D08B0">
        <w:rPr>
          <w:rFonts w:ascii="Times New Roman" w:eastAsia="Times New Roman" w:hAnsi="Times New Roman" w:cs="B Nazanin"/>
          <w:sz w:val="24"/>
          <w:szCs w:val="24"/>
        </w:rPr>
        <w:t xml:space="preserve">• </w:t>
      </w:r>
      <w:r w:rsidRPr="002D08B0">
        <w:rPr>
          <w:rFonts w:ascii="Times New Roman" w:eastAsia="Times New Roman" w:hAnsi="Times New Roman" w:cs="B Nazanin"/>
          <w:sz w:val="24"/>
          <w:szCs w:val="24"/>
          <w:rtl/>
        </w:rPr>
        <w:t>سود یا زیان گزارش شده قسمت، حداقل10درصد مجموع سود تمام قسمتهای عملیاتی سودده یا مجموع زیان تمام قسمتهای عملیاتی زیانده، هر کدام که قدر مطلق آن بزرگتر است، باشد</w:t>
      </w:r>
      <w:r w:rsidRPr="002D08B0">
        <w:rPr>
          <w:rFonts w:ascii="Times New Roman" w:eastAsia="Times New Roman" w:hAnsi="Times New Roman" w:cs="B Nazanin"/>
          <w:sz w:val="24"/>
          <w:szCs w:val="24"/>
        </w:rPr>
        <w:t>.</w:t>
      </w:r>
      <w:proofErr w:type="gramEnd"/>
      <w:r w:rsidRPr="002D08B0">
        <w:rPr>
          <w:rFonts w:ascii="Times New Roman" w:eastAsia="Times New Roman" w:hAnsi="Times New Roman" w:cs="B Nazanin"/>
          <w:sz w:val="24"/>
          <w:szCs w:val="24"/>
        </w:rPr>
        <w:br/>
      </w:r>
      <w:proofErr w:type="gramStart"/>
      <w:r w:rsidRPr="002D08B0">
        <w:rPr>
          <w:rFonts w:ascii="Times New Roman" w:eastAsia="Times New Roman" w:hAnsi="Times New Roman" w:cs="B Nazanin"/>
          <w:sz w:val="24"/>
          <w:szCs w:val="24"/>
        </w:rPr>
        <w:t xml:space="preserve">• </w:t>
      </w:r>
      <w:r w:rsidRPr="002D08B0">
        <w:rPr>
          <w:rFonts w:ascii="Times New Roman" w:eastAsia="Times New Roman" w:hAnsi="Times New Roman" w:cs="B Nazanin"/>
          <w:sz w:val="24"/>
          <w:szCs w:val="24"/>
          <w:rtl/>
        </w:rPr>
        <w:t>داراییهای قسمت، حداقل 10درصد مجموع داراییهای تمام قسمتهای عملیاتی باشد</w:t>
      </w:r>
      <w:r w:rsidRPr="002D08B0">
        <w:rPr>
          <w:rFonts w:ascii="Times New Roman" w:eastAsia="Times New Roman" w:hAnsi="Times New Roman" w:cs="B Nazanin"/>
          <w:sz w:val="24"/>
          <w:szCs w:val="24"/>
        </w:rPr>
        <w:t>.</w:t>
      </w:r>
      <w:proofErr w:type="gramEnd"/>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tl/>
        </w:rPr>
        <w:t>استاندارد بین‌المللی گزارشگری مالی شماره 8 بیان می‌کند که اگر گردش معاملات برون‌سازمانی گزارش‌شده به‌وسیله قسمتهای عملیاتی که انتساب‌پذیر به قسمتهای قابل گزارش است، کمتر از 75 درصد مجموع درامد واحد تجاری باشد، باید قسمتهای دیگر به‌عنوان قسمتهای قابل گزارش مشخص شوند تا سطح 75 درصد تحقق یابد</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tl/>
        </w:rPr>
        <w:t>چنانچه قسمتها از ویژگیهای اقتصادی مشابه برخوردار باشند، تجمیع آنها به شکل یک قسمت عملیاتی واحد و به‌منظور تعیین آستانه اهمیت بلامانع است</w:t>
      </w:r>
      <w:r w:rsidRPr="002D08B0">
        <w:rPr>
          <w:rFonts w:ascii="Times New Roman" w:eastAsia="Times New Roman" w:hAnsi="Times New Roman" w:cs="B Nazanin"/>
          <w:sz w:val="24"/>
          <w:szCs w:val="24"/>
        </w:rPr>
        <w:t xml:space="preserve">. </w:t>
      </w: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tl/>
        </w:rPr>
        <w:t>مثال</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tl/>
        </w:rPr>
        <w:t>اجزای یک واحد تجاری به شرح زیر تشخیص داده شده‌اند؛ با توجه به آستانه‌های اهمیت کمی بیان شده در استاندارد بین‌المللی گزارشگری مالی شماره 8، کدام یک از قسمتها، قابل گزارش‌اند؟</w:t>
      </w: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tl/>
        </w:rPr>
        <w:t>اجزای 1 و 2، به‌دلیل احراز تمام آستانه‌های کمی (معیار اندازه)، به‌طور جداگانه قابل گزارش هستند. اجزای 3 و 4، به‌دلیل احراز نکردن هیچ یک از آستانه‌های کمی، ظاهراً قابل گزارش نیستند. درامد برون‌سازمانی جزء 1، 82 درصد مجموع درامدهای برون‌سازمانی است، بنابراین آستانه 75 درصد احراز شده است. با این حال، اگر این قسمتها ویژگیهای اقتصادی مشابه داشته باشند، تجمیع آنها، آستانه اهمیت 10درصد درامد را احراز می‌کند و به‌عنوان یک قسمت مجزا، قابل گزارش خواهد بود</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tl/>
        </w:rPr>
        <w:t>بر اساس استاندارد بین‌المللی گزارشگری مالی شماره 8، اطلاعات دوره جاری و اطلاعات مقایسه‌ای قسمت، باید به‌طور یکنواخت گزارش شود. یعنی چنانچه یکی از قسمتها در دوره جاری به‌عنوان قسمت قابل گزارش تعیین شود، ولی در دوره قبل، قسمت قابل گزارش نباشد، باید اطلاعات مقایسه‌ای مشابه ارائه شود، مگر آنکه هزینه‌بر بودن اطلاعات، مانع کسب آنها گردد</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tl/>
        </w:rPr>
        <w:t>استاندارد بین‌المللی گزارشگری مالی شماره 8، به واحدهای تجاری اختیار می‌دهد که برای گزارش اطلاعات قسمتهایی که آستانه اهمیت را احراز نمی‌کنند، به قضاوت بپردازند</w:t>
      </w:r>
      <w:r w:rsidRPr="002D08B0">
        <w:rPr>
          <w:rFonts w:ascii="Times New Roman" w:eastAsia="Times New Roman" w:hAnsi="Times New Roman" w:cs="B Nazanin"/>
          <w:sz w:val="24"/>
          <w:szCs w:val="24"/>
        </w:rPr>
        <w:t xml:space="preserve">. </w:t>
      </w:r>
      <w:r w:rsidRPr="002D08B0">
        <w:rPr>
          <w:rFonts w:ascii="Times New Roman" w:eastAsia="Times New Roman" w:hAnsi="Times New Roman" w:cs="B Nazanin"/>
          <w:sz w:val="24"/>
          <w:szCs w:val="24"/>
          <w:rtl/>
        </w:rPr>
        <w:t>اگر بر مبنای قضاوت مدیریت، اطلاعات قسمت برای استفاده‌کنندگان صورتهای مالی مفید باشد، واحدهای تجاری می‌توانند اطلاعات مربوط به این قسمتها را گزارش کنند</w:t>
      </w:r>
      <w:r w:rsidRPr="002D08B0">
        <w:rPr>
          <w:rFonts w:ascii="Times New Roman" w:eastAsia="Times New Roman" w:hAnsi="Times New Roman" w:cs="B Nazanin"/>
          <w:sz w:val="24"/>
          <w:szCs w:val="24"/>
        </w:rPr>
        <w:t xml:space="preserve">. </w:t>
      </w:r>
    </w:p>
    <w:p w:rsidR="002D08B0" w:rsidRPr="002D08B0" w:rsidRDefault="002D08B0" w:rsidP="002D08B0">
      <w:pPr>
        <w:spacing w:before="100" w:beforeAutospacing="1" w:after="100" w:afterAutospacing="1"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Pr>
        <w:t> </w:t>
      </w:r>
    </w:p>
    <w:tbl>
      <w:tblPr>
        <w:bidiVisual/>
        <w:tblW w:w="0" w:type="auto"/>
        <w:jc w:val="center"/>
        <w:tblInd w:w="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60"/>
        <w:gridCol w:w="1587"/>
        <w:gridCol w:w="1587"/>
        <w:gridCol w:w="1588"/>
        <w:gridCol w:w="1587"/>
      </w:tblGrid>
      <w:tr w:rsidR="002D08B0" w:rsidRPr="002D08B0" w:rsidTr="002D08B0">
        <w:trPr>
          <w:trHeight w:val="453"/>
          <w:jc w:val="center"/>
        </w:trPr>
        <w:tc>
          <w:tcPr>
            <w:tcW w:w="2060" w:type="dxa"/>
            <w:vMerge w:val="restart"/>
            <w:tcBorders>
              <w:top w:val="single" w:sz="18" w:space="0" w:color="FFFFFF"/>
              <w:left w:val="single" w:sz="18" w:space="0" w:color="FFFFFF"/>
              <w:bottom w:val="single" w:sz="18" w:space="0" w:color="FFFFFF"/>
              <w:right w:val="single" w:sz="18" w:space="0" w:color="FFFFFF"/>
            </w:tcBorders>
            <w:shd w:val="clear" w:color="auto" w:fill="69003A"/>
            <w:tcMar>
              <w:top w:w="80" w:type="dxa"/>
              <w:left w:w="80" w:type="dxa"/>
              <w:bottom w:w="80" w:type="dxa"/>
              <w:right w:w="80" w:type="dxa"/>
            </w:tcMar>
            <w:vAlign w:val="center"/>
            <w:hideMark/>
          </w:tcPr>
          <w:p w:rsidR="002D08B0" w:rsidRPr="002D08B0" w:rsidRDefault="002D08B0" w:rsidP="002D08B0">
            <w:pPr>
              <w:bidi/>
              <w:spacing w:before="100" w:beforeAutospacing="1" w:after="100" w:afterAutospacing="1"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b/>
                <w:bCs/>
                <w:color w:val="FFFFFF"/>
                <w:sz w:val="24"/>
                <w:szCs w:val="24"/>
                <w:rtl/>
                <w:lang w:bidi="fa-IR"/>
              </w:rPr>
              <w:lastRenderedPageBreak/>
              <w:t>اجزای واحد تجاری</w:t>
            </w:r>
          </w:p>
        </w:tc>
        <w:tc>
          <w:tcPr>
            <w:tcW w:w="3174" w:type="dxa"/>
            <w:gridSpan w:val="2"/>
            <w:tcBorders>
              <w:top w:val="single" w:sz="18" w:space="0" w:color="auto"/>
              <w:left w:val="single" w:sz="18" w:space="0" w:color="auto"/>
              <w:bottom w:val="single" w:sz="18" w:space="0" w:color="auto"/>
              <w:right w:val="nil"/>
            </w:tcBorders>
            <w:shd w:val="clear" w:color="auto" w:fill="69003A"/>
            <w:tcMar>
              <w:top w:w="80" w:type="dxa"/>
              <w:left w:w="80" w:type="dxa"/>
              <w:bottom w:w="80" w:type="dxa"/>
              <w:right w:w="80" w:type="dxa"/>
            </w:tcMar>
            <w:vAlign w:val="center"/>
            <w:hideMark/>
          </w:tcPr>
          <w:p w:rsidR="002D08B0" w:rsidRPr="002D08B0" w:rsidRDefault="002D08B0" w:rsidP="002D08B0">
            <w:pPr>
              <w:bidi/>
              <w:spacing w:before="100" w:beforeAutospacing="1" w:after="100" w:afterAutospacing="1"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b/>
                <w:bCs/>
                <w:color w:val="FFFFFF"/>
                <w:sz w:val="24"/>
                <w:szCs w:val="24"/>
                <w:rtl/>
              </w:rPr>
              <w:t>درامد</w:t>
            </w:r>
          </w:p>
        </w:tc>
        <w:tc>
          <w:tcPr>
            <w:tcW w:w="1588" w:type="dxa"/>
            <w:vMerge w:val="restart"/>
            <w:tcBorders>
              <w:top w:val="single" w:sz="18" w:space="0" w:color="auto"/>
              <w:left w:val="single" w:sz="18" w:space="0" w:color="auto"/>
              <w:bottom w:val="single" w:sz="18" w:space="0" w:color="auto"/>
              <w:right w:val="nil"/>
            </w:tcBorders>
            <w:shd w:val="clear" w:color="auto" w:fill="69003A"/>
            <w:tcMar>
              <w:top w:w="80" w:type="dxa"/>
              <w:left w:w="80" w:type="dxa"/>
              <w:bottom w:w="80" w:type="dxa"/>
              <w:right w:w="80" w:type="dxa"/>
            </w:tcMar>
            <w:vAlign w:val="center"/>
            <w:hideMark/>
          </w:tcPr>
          <w:p w:rsidR="002D08B0" w:rsidRPr="002D08B0" w:rsidRDefault="002D08B0" w:rsidP="002D08B0">
            <w:pPr>
              <w:bidi/>
              <w:spacing w:before="100" w:beforeAutospacing="1" w:after="100" w:afterAutospacing="1"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b/>
                <w:bCs/>
                <w:color w:val="FFFFFF"/>
                <w:sz w:val="24"/>
                <w:szCs w:val="24"/>
                <w:rtl/>
                <w:lang w:bidi="fa-IR"/>
              </w:rPr>
              <w:t>سود</w:t>
            </w:r>
          </w:p>
        </w:tc>
        <w:tc>
          <w:tcPr>
            <w:tcW w:w="1587" w:type="dxa"/>
            <w:vMerge w:val="restart"/>
            <w:tcBorders>
              <w:top w:val="single" w:sz="18" w:space="0" w:color="auto"/>
              <w:left w:val="single" w:sz="18" w:space="0" w:color="auto"/>
              <w:bottom w:val="single" w:sz="18" w:space="0" w:color="auto"/>
              <w:right w:val="nil"/>
            </w:tcBorders>
            <w:shd w:val="clear" w:color="auto" w:fill="69003A"/>
            <w:tcMar>
              <w:top w:w="80" w:type="dxa"/>
              <w:left w:w="80" w:type="dxa"/>
              <w:bottom w:w="80" w:type="dxa"/>
              <w:right w:w="80" w:type="dxa"/>
            </w:tcMar>
            <w:vAlign w:val="center"/>
            <w:hideMark/>
          </w:tcPr>
          <w:p w:rsidR="002D08B0" w:rsidRPr="002D08B0" w:rsidRDefault="002D08B0" w:rsidP="002D08B0">
            <w:pPr>
              <w:bidi/>
              <w:spacing w:before="100" w:beforeAutospacing="1" w:after="100" w:afterAutospacing="1"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b/>
                <w:bCs/>
                <w:color w:val="FFFFFF"/>
                <w:sz w:val="24"/>
                <w:szCs w:val="24"/>
                <w:rtl/>
                <w:lang w:bidi="fa-IR"/>
              </w:rPr>
              <w:t>داراییها</w:t>
            </w:r>
          </w:p>
        </w:tc>
      </w:tr>
      <w:tr w:rsidR="002D08B0" w:rsidRPr="002D08B0" w:rsidTr="002D08B0">
        <w:trPr>
          <w:trHeight w:val="453"/>
          <w:jc w:val="center"/>
        </w:trPr>
        <w:tc>
          <w:tcPr>
            <w:tcW w:w="0" w:type="auto"/>
            <w:vMerge/>
            <w:tcBorders>
              <w:top w:val="single" w:sz="18" w:space="0" w:color="FFFFFF"/>
              <w:left w:val="single" w:sz="18" w:space="0" w:color="FFFFFF"/>
              <w:bottom w:val="single" w:sz="18" w:space="0" w:color="FFFFFF"/>
              <w:right w:val="single" w:sz="18" w:space="0" w:color="FFFFFF"/>
            </w:tcBorders>
            <w:vAlign w:val="center"/>
            <w:hideMark/>
          </w:tcPr>
          <w:p w:rsidR="002D08B0" w:rsidRPr="002D08B0" w:rsidRDefault="002D08B0" w:rsidP="002D08B0">
            <w:pPr>
              <w:spacing w:after="0" w:line="240" w:lineRule="auto"/>
              <w:jc w:val="right"/>
              <w:rPr>
                <w:rFonts w:ascii="Times New Roman" w:eastAsia="Times New Roman" w:hAnsi="Times New Roman" w:cs="B Nazanin"/>
                <w:sz w:val="24"/>
                <w:szCs w:val="24"/>
              </w:rPr>
            </w:pPr>
          </w:p>
        </w:tc>
        <w:tc>
          <w:tcPr>
            <w:tcW w:w="1587" w:type="dxa"/>
            <w:tcBorders>
              <w:top w:val="nil"/>
              <w:left w:val="single" w:sz="18" w:space="0" w:color="auto"/>
              <w:bottom w:val="single" w:sz="18" w:space="0" w:color="auto"/>
              <w:right w:val="nil"/>
            </w:tcBorders>
            <w:shd w:val="clear" w:color="auto" w:fill="69003A"/>
            <w:tcMar>
              <w:top w:w="80" w:type="dxa"/>
              <w:left w:w="80" w:type="dxa"/>
              <w:bottom w:w="80" w:type="dxa"/>
              <w:right w:w="80" w:type="dxa"/>
            </w:tcMar>
            <w:vAlign w:val="center"/>
            <w:hideMark/>
          </w:tcPr>
          <w:p w:rsidR="002D08B0" w:rsidRPr="002D08B0" w:rsidRDefault="002D08B0" w:rsidP="002D08B0">
            <w:pPr>
              <w:bidi/>
              <w:spacing w:before="100" w:beforeAutospacing="1" w:after="100" w:afterAutospacing="1"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b/>
                <w:bCs/>
                <w:color w:val="FFFFFF"/>
                <w:sz w:val="24"/>
                <w:szCs w:val="24"/>
                <w:rtl/>
              </w:rPr>
              <w:t>برون‌سازمانی</w:t>
            </w:r>
            <w:r w:rsidRPr="002D08B0">
              <w:rPr>
                <w:rFonts w:ascii="Times New Roman" w:eastAsia="Times New Roman" w:hAnsi="Times New Roman" w:cs="Times New Roman"/>
                <w:b/>
                <w:bCs/>
                <w:color w:val="FFFFFF"/>
                <w:sz w:val="24"/>
                <w:szCs w:val="24"/>
                <w:rtl/>
              </w:rPr>
              <w:t> </w:t>
            </w:r>
          </w:p>
        </w:tc>
        <w:tc>
          <w:tcPr>
            <w:tcW w:w="1587" w:type="dxa"/>
            <w:tcBorders>
              <w:top w:val="nil"/>
              <w:left w:val="single" w:sz="18" w:space="0" w:color="auto"/>
              <w:bottom w:val="single" w:sz="18" w:space="0" w:color="auto"/>
              <w:right w:val="nil"/>
            </w:tcBorders>
            <w:shd w:val="clear" w:color="auto" w:fill="69003A"/>
            <w:tcMar>
              <w:top w:w="80" w:type="dxa"/>
              <w:left w:w="80" w:type="dxa"/>
              <w:bottom w:w="80" w:type="dxa"/>
              <w:right w:w="80" w:type="dxa"/>
            </w:tcMar>
            <w:vAlign w:val="center"/>
            <w:hideMark/>
          </w:tcPr>
          <w:p w:rsidR="002D08B0" w:rsidRPr="002D08B0" w:rsidRDefault="002D08B0" w:rsidP="002D08B0">
            <w:pPr>
              <w:bidi/>
              <w:spacing w:before="100" w:beforeAutospacing="1" w:after="100" w:afterAutospacing="1"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b/>
                <w:bCs/>
                <w:color w:val="FFFFFF"/>
                <w:sz w:val="24"/>
                <w:szCs w:val="24"/>
                <w:rtl/>
              </w:rPr>
              <w:t>داخلی</w:t>
            </w:r>
            <w:r w:rsidRPr="002D08B0">
              <w:rPr>
                <w:rFonts w:ascii="Times New Roman" w:eastAsia="Times New Roman" w:hAnsi="Times New Roman" w:cs="Times New Roman"/>
                <w:b/>
                <w:bCs/>
                <w:color w:val="FFFFFF"/>
                <w:sz w:val="24"/>
                <w:szCs w:val="24"/>
                <w:rtl/>
              </w:rPr>
              <w:t> </w:t>
            </w:r>
          </w:p>
        </w:tc>
        <w:tc>
          <w:tcPr>
            <w:tcW w:w="0" w:type="auto"/>
            <w:vMerge/>
            <w:tcBorders>
              <w:top w:val="single" w:sz="18" w:space="0" w:color="auto"/>
              <w:left w:val="single" w:sz="18" w:space="0" w:color="auto"/>
              <w:bottom w:val="single" w:sz="18" w:space="0" w:color="auto"/>
              <w:right w:val="nil"/>
            </w:tcBorders>
            <w:vAlign w:val="center"/>
            <w:hideMark/>
          </w:tcPr>
          <w:p w:rsidR="002D08B0" w:rsidRPr="002D08B0" w:rsidRDefault="002D08B0" w:rsidP="002D08B0">
            <w:pPr>
              <w:spacing w:after="0" w:line="240" w:lineRule="auto"/>
              <w:jc w:val="right"/>
              <w:rPr>
                <w:rFonts w:ascii="Times New Roman" w:eastAsia="Times New Roman" w:hAnsi="Times New Roman" w:cs="B Nazanin"/>
                <w:sz w:val="24"/>
                <w:szCs w:val="24"/>
              </w:rPr>
            </w:pPr>
          </w:p>
        </w:tc>
        <w:tc>
          <w:tcPr>
            <w:tcW w:w="0" w:type="auto"/>
            <w:vMerge/>
            <w:tcBorders>
              <w:top w:val="single" w:sz="18" w:space="0" w:color="auto"/>
              <w:left w:val="single" w:sz="18" w:space="0" w:color="auto"/>
              <w:bottom w:val="single" w:sz="18" w:space="0" w:color="auto"/>
              <w:right w:val="nil"/>
            </w:tcBorders>
            <w:vAlign w:val="center"/>
            <w:hideMark/>
          </w:tcPr>
          <w:p w:rsidR="002D08B0" w:rsidRPr="002D08B0" w:rsidRDefault="002D08B0" w:rsidP="002D08B0">
            <w:pPr>
              <w:spacing w:after="0" w:line="240" w:lineRule="auto"/>
              <w:jc w:val="right"/>
              <w:rPr>
                <w:rFonts w:ascii="Times New Roman" w:eastAsia="Times New Roman" w:hAnsi="Times New Roman" w:cs="B Nazanin"/>
                <w:sz w:val="24"/>
                <w:szCs w:val="24"/>
              </w:rPr>
            </w:pPr>
          </w:p>
        </w:tc>
      </w:tr>
      <w:tr w:rsidR="002D08B0" w:rsidRPr="002D08B0" w:rsidTr="002D08B0">
        <w:trPr>
          <w:trHeight w:val="396"/>
          <w:jc w:val="center"/>
        </w:trPr>
        <w:tc>
          <w:tcPr>
            <w:tcW w:w="2060" w:type="dxa"/>
            <w:tcBorders>
              <w:top w:val="nil"/>
              <w:left w:val="single" w:sz="18" w:space="0" w:color="auto"/>
              <w:bottom w:val="single" w:sz="18" w:space="0" w:color="auto"/>
              <w:right w:val="single" w:sz="18" w:space="0" w:color="auto"/>
            </w:tcBorders>
            <w:shd w:val="clear" w:color="auto" w:fill="C64986"/>
            <w:tcMar>
              <w:top w:w="80" w:type="dxa"/>
              <w:left w:w="80" w:type="dxa"/>
              <w:bottom w:w="80" w:type="dxa"/>
              <w:right w:w="80" w:type="dxa"/>
            </w:tcMar>
            <w:vAlign w:val="center"/>
            <w:hideMark/>
          </w:tcPr>
          <w:p w:rsidR="002D08B0" w:rsidRPr="002D08B0" w:rsidRDefault="002D08B0" w:rsidP="002D08B0">
            <w:pPr>
              <w:bidi/>
              <w:spacing w:before="100" w:beforeAutospacing="1" w:after="100" w:afterAutospacing="1"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tl/>
              </w:rPr>
              <w:t>1</w:t>
            </w:r>
          </w:p>
        </w:tc>
        <w:tc>
          <w:tcPr>
            <w:tcW w:w="1587" w:type="dxa"/>
            <w:tcBorders>
              <w:top w:val="nil"/>
              <w:left w:val="single" w:sz="18" w:space="0" w:color="auto"/>
              <w:bottom w:val="single" w:sz="18" w:space="0" w:color="auto"/>
              <w:right w:val="nil"/>
            </w:tcBorders>
            <w:shd w:val="clear" w:color="auto" w:fill="F499C1"/>
            <w:tcMar>
              <w:top w:w="80" w:type="dxa"/>
              <w:left w:w="80" w:type="dxa"/>
              <w:bottom w:w="80" w:type="dxa"/>
              <w:right w:w="80" w:type="dxa"/>
            </w:tcMar>
            <w:vAlign w:val="center"/>
            <w:hideMark/>
          </w:tcPr>
          <w:p w:rsidR="002D08B0" w:rsidRPr="002D08B0" w:rsidRDefault="002D08B0" w:rsidP="002D08B0">
            <w:pPr>
              <w:bidi/>
              <w:spacing w:before="100" w:beforeAutospacing="1" w:after="100" w:afterAutospacing="1"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tl/>
              </w:rPr>
              <w:t>8000</w:t>
            </w:r>
          </w:p>
        </w:tc>
        <w:tc>
          <w:tcPr>
            <w:tcW w:w="1587" w:type="dxa"/>
            <w:tcBorders>
              <w:top w:val="nil"/>
              <w:left w:val="single" w:sz="18" w:space="0" w:color="auto"/>
              <w:bottom w:val="single" w:sz="18" w:space="0" w:color="auto"/>
              <w:right w:val="nil"/>
            </w:tcBorders>
            <w:shd w:val="clear" w:color="auto" w:fill="F5A2C7"/>
            <w:tcMar>
              <w:top w:w="80" w:type="dxa"/>
              <w:left w:w="80" w:type="dxa"/>
              <w:bottom w:w="80" w:type="dxa"/>
              <w:right w:w="80" w:type="dxa"/>
            </w:tcMar>
            <w:vAlign w:val="center"/>
            <w:hideMark/>
          </w:tcPr>
          <w:p w:rsidR="002D08B0" w:rsidRPr="002D08B0" w:rsidRDefault="002D08B0" w:rsidP="002D08B0">
            <w:pPr>
              <w:bidi/>
              <w:spacing w:before="100" w:beforeAutospacing="1" w:after="100" w:afterAutospacing="1"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tl/>
              </w:rPr>
              <w:t>-</w:t>
            </w:r>
          </w:p>
        </w:tc>
        <w:tc>
          <w:tcPr>
            <w:tcW w:w="1588" w:type="dxa"/>
            <w:tcBorders>
              <w:top w:val="nil"/>
              <w:left w:val="single" w:sz="18" w:space="0" w:color="auto"/>
              <w:bottom w:val="single" w:sz="18" w:space="0" w:color="auto"/>
              <w:right w:val="nil"/>
            </w:tcBorders>
            <w:shd w:val="clear" w:color="auto" w:fill="FDD9ED"/>
            <w:tcMar>
              <w:top w:w="80" w:type="dxa"/>
              <w:left w:w="80" w:type="dxa"/>
              <w:bottom w:w="80" w:type="dxa"/>
              <w:right w:w="80" w:type="dxa"/>
            </w:tcMar>
            <w:vAlign w:val="center"/>
            <w:hideMark/>
          </w:tcPr>
          <w:p w:rsidR="002D08B0" w:rsidRPr="002D08B0" w:rsidRDefault="002D08B0" w:rsidP="002D08B0">
            <w:pPr>
              <w:bidi/>
              <w:spacing w:before="100" w:beforeAutospacing="1" w:after="100" w:afterAutospacing="1"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tl/>
              </w:rPr>
              <w:t>10000</w:t>
            </w:r>
          </w:p>
        </w:tc>
        <w:tc>
          <w:tcPr>
            <w:tcW w:w="1587" w:type="dxa"/>
            <w:tcBorders>
              <w:top w:val="nil"/>
              <w:left w:val="single" w:sz="18" w:space="0" w:color="auto"/>
              <w:bottom w:val="single" w:sz="18" w:space="0" w:color="auto"/>
              <w:right w:val="nil"/>
            </w:tcBorders>
            <w:shd w:val="clear" w:color="auto" w:fill="D0C7CD"/>
            <w:tcMar>
              <w:top w:w="80" w:type="dxa"/>
              <w:left w:w="80" w:type="dxa"/>
              <w:bottom w:w="80" w:type="dxa"/>
              <w:right w:w="80" w:type="dxa"/>
            </w:tcMar>
            <w:vAlign w:val="center"/>
            <w:hideMark/>
          </w:tcPr>
          <w:p w:rsidR="002D08B0" w:rsidRPr="002D08B0" w:rsidRDefault="002D08B0" w:rsidP="002D08B0">
            <w:pPr>
              <w:bidi/>
              <w:spacing w:before="100" w:beforeAutospacing="1" w:after="100" w:afterAutospacing="1"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tl/>
              </w:rPr>
              <w:t>50000</w:t>
            </w:r>
          </w:p>
        </w:tc>
      </w:tr>
      <w:tr w:rsidR="002D08B0" w:rsidRPr="002D08B0" w:rsidTr="002D08B0">
        <w:trPr>
          <w:trHeight w:val="396"/>
          <w:jc w:val="center"/>
        </w:trPr>
        <w:tc>
          <w:tcPr>
            <w:tcW w:w="2060" w:type="dxa"/>
            <w:tcBorders>
              <w:top w:val="nil"/>
              <w:left w:val="single" w:sz="18" w:space="0" w:color="auto"/>
              <w:bottom w:val="single" w:sz="18" w:space="0" w:color="auto"/>
              <w:right w:val="single" w:sz="18" w:space="0" w:color="auto"/>
            </w:tcBorders>
            <w:shd w:val="clear" w:color="auto" w:fill="C64986"/>
            <w:tcMar>
              <w:top w:w="80" w:type="dxa"/>
              <w:left w:w="80" w:type="dxa"/>
              <w:bottom w:w="80" w:type="dxa"/>
              <w:right w:w="80" w:type="dxa"/>
            </w:tcMar>
            <w:vAlign w:val="center"/>
            <w:hideMark/>
          </w:tcPr>
          <w:p w:rsidR="002D08B0" w:rsidRPr="002D08B0" w:rsidRDefault="002D08B0" w:rsidP="002D08B0">
            <w:pPr>
              <w:bidi/>
              <w:spacing w:before="100" w:beforeAutospacing="1" w:after="100" w:afterAutospacing="1"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tl/>
              </w:rPr>
              <w:t>2</w:t>
            </w:r>
          </w:p>
        </w:tc>
        <w:tc>
          <w:tcPr>
            <w:tcW w:w="1587" w:type="dxa"/>
            <w:tcBorders>
              <w:top w:val="nil"/>
              <w:left w:val="single" w:sz="18" w:space="0" w:color="auto"/>
              <w:bottom w:val="single" w:sz="18" w:space="0" w:color="auto"/>
              <w:right w:val="nil"/>
            </w:tcBorders>
            <w:shd w:val="clear" w:color="auto" w:fill="F499C1"/>
            <w:tcMar>
              <w:top w:w="80" w:type="dxa"/>
              <w:left w:w="80" w:type="dxa"/>
              <w:bottom w:w="80" w:type="dxa"/>
              <w:right w:w="80" w:type="dxa"/>
            </w:tcMar>
            <w:vAlign w:val="center"/>
            <w:hideMark/>
          </w:tcPr>
          <w:p w:rsidR="002D08B0" w:rsidRPr="002D08B0" w:rsidRDefault="002D08B0" w:rsidP="002D08B0">
            <w:pPr>
              <w:bidi/>
              <w:spacing w:before="100" w:beforeAutospacing="1" w:after="100" w:afterAutospacing="1"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tl/>
              </w:rPr>
              <w:t>-</w:t>
            </w:r>
          </w:p>
        </w:tc>
        <w:tc>
          <w:tcPr>
            <w:tcW w:w="1587" w:type="dxa"/>
            <w:tcBorders>
              <w:top w:val="nil"/>
              <w:left w:val="single" w:sz="18" w:space="0" w:color="auto"/>
              <w:bottom w:val="single" w:sz="18" w:space="0" w:color="auto"/>
              <w:right w:val="nil"/>
            </w:tcBorders>
            <w:shd w:val="clear" w:color="auto" w:fill="F5A2C7"/>
            <w:tcMar>
              <w:top w:w="80" w:type="dxa"/>
              <w:left w:w="80" w:type="dxa"/>
              <w:bottom w:w="80" w:type="dxa"/>
              <w:right w:w="80" w:type="dxa"/>
            </w:tcMar>
            <w:vAlign w:val="center"/>
            <w:hideMark/>
          </w:tcPr>
          <w:p w:rsidR="002D08B0" w:rsidRPr="002D08B0" w:rsidRDefault="002D08B0" w:rsidP="002D08B0">
            <w:pPr>
              <w:bidi/>
              <w:spacing w:after="0"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tl/>
              </w:rPr>
              <w:t>45000</w:t>
            </w:r>
          </w:p>
        </w:tc>
        <w:tc>
          <w:tcPr>
            <w:tcW w:w="1588" w:type="dxa"/>
            <w:tcBorders>
              <w:top w:val="nil"/>
              <w:left w:val="single" w:sz="18" w:space="0" w:color="auto"/>
              <w:bottom w:val="single" w:sz="18" w:space="0" w:color="auto"/>
              <w:right w:val="nil"/>
            </w:tcBorders>
            <w:shd w:val="clear" w:color="auto" w:fill="FDD9ED"/>
            <w:tcMar>
              <w:top w:w="80" w:type="dxa"/>
              <w:left w:w="80" w:type="dxa"/>
              <w:bottom w:w="80" w:type="dxa"/>
              <w:right w:w="80" w:type="dxa"/>
            </w:tcMar>
            <w:vAlign w:val="center"/>
            <w:hideMark/>
          </w:tcPr>
          <w:p w:rsidR="002D08B0" w:rsidRPr="002D08B0" w:rsidRDefault="002D08B0" w:rsidP="002D08B0">
            <w:pPr>
              <w:bidi/>
              <w:spacing w:after="0"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tl/>
              </w:rPr>
              <w:t>5000</w:t>
            </w:r>
          </w:p>
        </w:tc>
        <w:tc>
          <w:tcPr>
            <w:tcW w:w="1587" w:type="dxa"/>
            <w:tcBorders>
              <w:top w:val="nil"/>
              <w:left w:val="single" w:sz="18" w:space="0" w:color="auto"/>
              <w:bottom w:val="single" w:sz="18" w:space="0" w:color="auto"/>
              <w:right w:val="nil"/>
            </w:tcBorders>
            <w:shd w:val="clear" w:color="auto" w:fill="D0C7CD"/>
            <w:tcMar>
              <w:top w:w="80" w:type="dxa"/>
              <w:left w:w="80" w:type="dxa"/>
              <w:bottom w:w="80" w:type="dxa"/>
              <w:right w:w="80" w:type="dxa"/>
            </w:tcMar>
            <w:vAlign w:val="center"/>
            <w:hideMark/>
          </w:tcPr>
          <w:p w:rsidR="002D08B0" w:rsidRPr="002D08B0" w:rsidRDefault="002D08B0" w:rsidP="002D08B0">
            <w:pPr>
              <w:bidi/>
              <w:spacing w:before="100" w:beforeAutospacing="1" w:after="100" w:afterAutospacing="1"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tl/>
              </w:rPr>
              <w:t>30000</w:t>
            </w:r>
          </w:p>
        </w:tc>
      </w:tr>
      <w:tr w:rsidR="002D08B0" w:rsidRPr="002D08B0" w:rsidTr="002D08B0">
        <w:trPr>
          <w:trHeight w:val="396"/>
          <w:jc w:val="center"/>
        </w:trPr>
        <w:tc>
          <w:tcPr>
            <w:tcW w:w="2060" w:type="dxa"/>
            <w:tcBorders>
              <w:top w:val="nil"/>
              <w:left w:val="single" w:sz="18" w:space="0" w:color="auto"/>
              <w:bottom w:val="single" w:sz="18" w:space="0" w:color="auto"/>
              <w:right w:val="single" w:sz="18" w:space="0" w:color="auto"/>
            </w:tcBorders>
            <w:shd w:val="clear" w:color="auto" w:fill="C64986"/>
            <w:tcMar>
              <w:top w:w="80" w:type="dxa"/>
              <w:left w:w="80" w:type="dxa"/>
              <w:bottom w:w="80" w:type="dxa"/>
              <w:right w:w="80" w:type="dxa"/>
            </w:tcMar>
            <w:vAlign w:val="center"/>
            <w:hideMark/>
          </w:tcPr>
          <w:p w:rsidR="002D08B0" w:rsidRPr="002D08B0" w:rsidRDefault="002D08B0" w:rsidP="002D08B0">
            <w:pPr>
              <w:bidi/>
              <w:spacing w:before="100" w:beforeAutospacing="1" w:after="100" w:afterAutospacing="1"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tl/>
              </w:rPr>
              <w:t>3</w:t>
            </w:r>
          </w:p>
        </w:tc>
        <w:tc>
          <w:tcPr>
            <w:tcW w:w="1587" w:type="dxa"/>
            <w:tcBorders>
              <w:top w:val="nil"/>
              <w:left w:val="single" w:sz="18" w:space="0" w:color="auto"/>
              <w:bottom w:val="single" w:sz="18" w:space="0" w:color="auto"/>
              <w:right w:val="nil"/>
            </w:tcBorders>
            <w:shd w:val="clear" w:color="auto" w:fill="F499C1"/>
            <w:tcMar>
              <w:top w:w="80" w:type="dxa"/>
              <w:left w:w="80" w:type="dxa"/>
              <w:bottom w:w="80" w:type="dxa"/>
              <w:right w:w="80" w:type="dxa"/>
            </w:tcMar>
            <w:vAlign w:val="center"/>
            <w:hideMark/>
          </w:tcPr>
          <w:p w:rsidR="002D08B0" w:rsidRPr="002D08B0" w:rsidRDefault="002D08B0" w:rsidP="002D08B0">
            <w:pPr>
              <w:bidi/>
              <w:spacing w:after="0"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tl/>
              </w:rPr>
              <w:t>10000</w:t>
            </w:r>
          </w:p>
        </w:tc>
        <w:tc>
          <w:tcPr>
            <w:tcW w:w="1587" w:type="dxa"/>
            <w:tcBorders>
              <w:top w:val="nil"/>
              <w:left w:val="single" w:sz="18" w:space="0" w:color="auto"/>
              <w:bottom w:val="single" w:sz="18" w:space="0" w:color="auto"/>
              <w:right w:val="nil"/>
            </w:tcBorders>
            <w:shd w:val="clear" w:color="auto" w:fill="F5A2C7"/>
            <w:tcMar>
              <w:top w:w="80" w:type="dxa"/>
              <w:left w:w="80" w:type="dxa"/>
              <w:bottom w:w="80" w:type="dxa"/>
              <w:right w:w="80" w:type="dxa"/>
            </w:tcMar>
            <w:vAlign w:val="center"/>
            <w:hideMark/>
          </w:tcPr>
          <w:p w:rsidR="002D08B0" w:rsidRPr="002D08B0" w:rsidRDefault="002D08B0" w:rsidP="002D08B0">
            <w:pPr>
              <w:bidi/>
              <w:spacing w:before="100" w:beforeAutospacing="1" w:after="100" w:afterAutospacing="1"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tl/>
              </w:rPr>
              <w:t>-</w:t>
            </w:r>
          </w:p>
        </w:tc>
        <w:tc>
          <w:tcPr>
            <w:tcW w:w="1588" w:type="dxa"/>
            <w:tcBorders>
              <w:top w:val="nil"/>
              <w:left w:val="single" w:sz="18" w:space="0" w:color="auto"/>
              <w:bottom w:val="single" w:sz="18" w:space="0" w:color="auto"/>
              <w:right w:val="nil"/>
            </w:tcBorders>
            <w:shd w:val="clear" w:color="auto" w:fill="FDD9ED"/>
            <w:tcMar>
              <w:top w:w="80" w:type="dxa"/>
              <w:left w:w="80" w:type="dxa"/>
              <w:bottom w:w="80" w:type="dxa"/>
              <w:right w:w="80" w:type="dxa"/>
            </w:tcMar>
            <w:vAlign w:val="center"/>
            <w:hideMark/>
          </w:tcPr>
          <w:p w:rsidR="002D08B0" w:rsidRPr="002D08B0" w:rsidRDefault="002D08B0" w:rsidP="002D08B0">
            <w:pPr>
              <w:bidi/>
              <w:spacing w:after="0"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tl/>
              </w:rPr>
              <w:t>1000</w:t>
            </w:r>
          </w:p>
        </w:tc>
        <w:tc>
          <w:tcPr>
            <w:tcW w:w="1587" w:type="dxa"/>
            <w:tcBorders>
              <w:top w:val="nil"/>
              <w:left w:val="single" w:sz="18" w:space="0" w:color="auto"/>
              <w:bottom w:val="single" w:sz="18" w:space="0" w:color="auto"/>
              <w:right w:val="nil"/>
            </w:tcBorders>
            <w:shd w:val="clear" w:color="auto" w:fill="D0C7CD"/>
            <w:tcMar>
              <w:top w:w="80" w:type="dxa"/>
              <w:left w:w="80" w:type="dxa"/>
              <w:bottom w:w="80" w:type="dxa"/>
              <w:right w:w="80" w:type="dxa"/>
            </w:tcMar>
            <w:vAlign w:val="center"/>
            <w:hideMark/>
          </w:tcPr>
          <w:p w:rsidR="002D08B0" w:rsidRPr="002D08B0" w:rsidRDefault="002D08B0" w:rsidP="002D08B0">
            <w:pPr>
              <w:bidi/>
              <w:spacing w:after="0"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tl/>
              </w:rPr>
              <w:t>4000</w:t>
            </w:r>
          </w:p>
        </w:tc>
      </w:tr>
      <w:tr w:rsidR="002D08B0" w:rsidRPr="002D08B0" w:rsidTr="002D08B0">
        <w:trPr>
          <w:trHeight w:val="396"/>
          <w:jc w:val="center"/>
        </w:trPr>
        <w:tc>
          <w:tcPr>
            <w:tcW w:w="2060" w:type="dxa"/>
            <w:tcBorders>
              <w:top w:val="nil"/>
              <w:left w:val="single" w:sz="18" w:space="0" w:color="auto"/>
              <w:bottom w:val="single" w:sz="18" w:space="0" w:color="auto"/>
              <w:right w:val="single" w:sz="18" w:space="0" w:color="auto"/>
            </w:tcBorders>
            <w:shd w:val="clear" w:color="auto" w:fill="C64986"/>
            <w:tcMar>
              <w:top w:w="80" w:type="dxa"/>
              <w:left w:w="80" w:type="dxa"/>
              <w:bottom w:w="80" w:type="dxa"/>
              <w:right w:w="80" w:type="dxa"/>
            </w:tcMar>
            <w:vAlign w:val="center"/>
            <w:hideMark/>
          </w:tcPr>
          <w:p w:rsidR="002D08B0" w:rsidRPr="002D08B0" w:rsidRDefault="002D08B0" w:rsidP="002D08B0">
            <w:pPr>
              <w:bidi/>
              <w:spacing w:before="100" w:beforeAutospacing="1" w:after="100" w:afterAutospacing="1"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tl/>
              </w:rPr>
              <w:t>4</w:t>
            </w:r>
            <w:r w:rsidRPr="002D08B0">
              <w:rPr>
                <w:rFonts w:ascii="Times New Roman" w:eastAsia="Times New Roman" w:hAnsi="Times New Roman" w:cs="Times New Roman" w:hint="cs"/>
                <w:sz w:val="24"/>
                <w:szCs w:val="24"/>
                <w:rtl/>
                <w:lang w:bidi="fa-IR"/>
              </w:rPr>
              <w:t> </w:t>
            </w:r>
          </w:p>
        </w:tc>
        <w:tc>
          <w:tcPr>
            <w:tcW w:w="1587" w:type="dxa"/>
            <w:tcBorders>
              <w:top w:val="nil"/>
              <w:left w:val="single" w:sz="18" w:space="0" w:color="auto"/>
              <w:bottom w:val="single" w:sz="18" w:space="0" w:color="auto"/>
              <w:right w:val="nil"/>
            </w:tcBorders>
            <w:shd w:val="clear" w:color="auto" w:fill="F499C1"/>
            <w:tcMar>
              <w:top w:w="80" w:type="dxa"/>
              <w:left w:w="80" w:type="dxa"/>
              <w:bottom w:w="80" w:type="dxa"/>
              <w:right w:w="80" w:type="dxa"/>
            </w:tcMar>
            <w:vAlign w:val="center"/>
            <w:hideMark/>
          </w:tcPr>
          <w:p w:rsidR="002D08B0" w:rsidRPr="002D08B0" w:rsidRDefault="002D08B0" w:rsidP="002D08B0">
            <w:pPr>
              <w:bidi/>
              <w:spacing w:after="0"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tl/>
              </w:rPr>
              <w:t>8000</w:t>
            </w:r>
          </w:p>
        </w:tc>
        <w:tc>
          <w:tcPr>
            <w:tcW w:w="1587" w:type="dxa"/>
            <w:tcBorders>
              <w:top w:val="nil"/>
              <w:left w:val="single" w:sz="18" w:space="0" w:color="auto"/>
              <w:bottom w:val="single" w:sz="18" w:space="0" w:color="auto"/>
              <w:right w:val="nil"/>
            </w:tcBorders>
            <w:shd w:val="clear" w:color="auto" w:fill="F5A2C7"/>
            <w:tcMar>
              <w:top w:w="80" w:type="dxa"/>
              <w:left w:w="80" w:type="dxa"/>
              <w:bottom w:w="80" w:type="dxa"/>
              <w:right w:w="80" w:type="dxa"/>
            </w:tcMar>
            <w:vAlign w:val="center"/>
            <w:hideMark/>
          </w:tcPr>
          <w:p w:rsidR="002D08B0" w:rsidRPr="002D08B0" w:rsidRDefault="002D08B0" w:rsidP="002D08B0">
            <w:pPr>
              <w:bidi/>
              <w:spacing w:before="100" w:beforeAutospacing="1" w:after="100" w:afterAutospacing="1"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tl/>
              </w:rPr>
              <w:t>-</w:t>
            </w:r>
          </w:p>
        </w:tc>
        <w:tc>
          <w:tcPr>
            <w:tcW w:w="1588" w:type="dxa"/>
            <w:tcBorders>
              <w:top w:val="nil"/>
              <w:left w:val="single" w:sz="18" w:space="0" w:color="auto"/>
              <w:bottom w:val="single" w:sz="18" w:space="0" w:color="auto"/>
              <w:right w:val="nil"/>
            </w:tcBorders>
            <w:shd w:val="clear" w:color="auto" w:fill="FDD9ED"/>
            <w:tcMar>
              <w:top w:w="80" w:type="dxa"/>
              <w:left w:w="80" w:type="dxa"/>
              <w:bottom w:w="80" w:type="dxa"/>
              <w:right w:w="80" w:type="dxa"/>
            </w:tcMar>
            <w:vAlign w:val="center"/>
            <w:hideMark/>
          </w:tcPr>
          <w:p w:rsidR="002D08B0" w:rsidRPr="002D08B0" w:rsidRDefault="002D08B0" w:rsidP="002D08B0">
            <w:pPr>
              <w:bidi/>
              <w:spacing w:after="0"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tl/>
              </w:rPr>
              <w:t>500</w:t>
            </w:r>
          </w:p>
        </w:tc>
        <w:tc>
          <w:tcPr>
            <w:tcW w:w="1587" w:type="dxa"/>
            <w:tcBorders>
              <w:top w:val="nil"/>
              <w:left w:val="single" w:sz="18" w:space="0" w:color="auto"/>
              <w:bottom w:val="single" w:sz="18" w:space="0" w:color="auto"/>
              <w:right w:val="nil"/>
            </w:tcBorders>
            <w:shd w:val="clear" w:color="auto" w:fill="D0C7CD"/>
            <w:tcMar>
              <w:top w:w="80" w:type="dxa"/>
              <w:left w:w="80" w:type="dxa"/>
              <w:bottom w:w="80" w:type="dxa"/>
              <w:right w:w="80" w:type="dxa"/>
            </w:tcMar>
            <w:vAlign w:val="center"/>
            <w:hideMark/>
          </w:tcPr>
          <w:p w:rsidR="002D08B0" w:rsidRPr="002D08B0" w:rsidRDefault="002D08B0" w:rsidP="002D08B0">
            <w:pPr>
              <w:bidi/>
              <w:spacing w:after="0"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tl/>
              </w:rPr>
              <w:t>3000</w:t>
            </w:r>
          </w:p>
        </w:tc>
      </w:tr>
      <w:tr w:rsidR="002D08B0" w:rsidRPr="002D08B0" w:rsidTr="002D08B0">
        <w:trPr>
          <w:trHeight w:val="396"/>
          <w:jc w:val="center"/>
        </w:trPr>
        <w:tc>
          <w:tcPr>
            <w:tcW w:w="2060" w:type="dxa"/>
            <w:tcBorders>
              <w:top w:val="nil"/>
              <w:left w:val="single" w:sz="18" w:space="0" w:color="auto"/>
              <w:bottom w:val="single" w:sz="18" w:space="0" w:color="auto"/>
              <w:right w:val="single" w:sz="18" w:space="0" w:color="auto"/>
            </w:tcBorders>
            <w:shd w:val="clear" w:color="auto" w:fill="C6D8EA"/>
            <w:tcMar>
              <w:top w:w="80" w:type="dxa"/>
              <w:left w:w="80" w:type="dxa"/>
              <w:bottom w:w="80" w:type="dxa"/>
              <w:right w:w="80" w:type="dxa"/>
            </w:tcMar>
            <w:vAlign w:val="center"/>
            <w:hideMark/>
          </w:tcPr>
          <w:p w:rsidR="002D08B0" w:rsidRPr="002D08B0" w:rsidRDefault="002D08B0" w:rsidP="002D08B0">
            <w:pPr>
              <w:bidi/>
              <w:spacing w:after="0"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b/>
                <w:bCs/>
                <w:sz w:val="24"/>
                <w:szCs w:val="24"/>
                <w:rtl/>
              </w:rPr>
              <w:t>جمع کل در سطح واحد تجاری</w:t>
            </w:r>
            <w:r w:rsidRPr="002D08B0">
              <w:rPr>
                <w:rFonts w:ascii="Times New Roman" w:eastAsia="Times New Roman" w:hAnsi="Times New Roman" w:cs="Times New Roman"/>
                <w:b/>
                <w:bCs/>
                <w:sz w:val="24"/>
                <w:szCs w:val="24"/>
                <w:rtl/>
              </w:rPr>
              <w:t> </w:t>
            </w:r>
          </w:p>
        </w:tc>
        <w:tc>
          <w:tcPr>
            <w:tcW w:w="1587" w:type="dxa"/>
            <w:tcBorders>
              <w:top w:val="nil"/>
              <w:left w:val="single" w:sz="18" w:space="0" w:color="auto"/>
              <w:bottom w:val="single" w:sz="18" w:space="0" w:color="auto"/>
              <w:right w:val="nil"/>
            </w:tcBorders>
            <w:shd w:val="clear" w:color="auto" w:fill="C6D8EA"/>
            <w:tcMar>
              <w:top w:w="80" w:type="dxa"/>
              <w:left w:w="80" w:type="dxa"/>
              <w:bottom w:w="80" w:type="dxa"/>
              <w:right w:w="80" w:type="dxa"/>
            </w:tcMar>
            <w:vAlign w:val="center"/>
            <w:hideMark/>
          </w:tcPr>
          <w:p w:rsidR="002D08B0" w:rsidRPr="002D08B0" w:rsidRDefault="002D08B0" w:rsidP="002D08B0">
            <w:pPr>
              <w:bidi/>
              <w:spacing w:after="0"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tl/>
              </w:rPr>
              <w:t>98000</w:t>
            </w:r>
          </w:p>
        </w:tc>
        <w:tc>
          <w:tcPr>
            <w:tcW w:w="1587" w:type="dxa"/>
            <w:tcBorders>
              <w:top w:val="nil"/>
              <w:left w:val="single" w:sz="18" w:space="0" w:color="auto"/>
              <w:bottom w:val="single" w:sz="18" w:space="0" w:color="auto"/>
              <w:right w:val="nil"/>
            </w:tcBorders>
            <w:shd w:val="clear" w:color="auto" w:fill="C6D8EA"/>
            <w:tcMar>
              <w:top w:w="80" w:type="dxa"/>
              <w:left w:w="80" w:type="dxa"/>
              <w:bottom w:w="80" w:type="dxa"/>
              <w:right w:w="80" w:type="dxa"/>
            </w:tcMar>
            <w:vAlign w:val="center"/>
            <w:hideMark/>
          </w:tcPr>
          <w:p w:rsidR="002D08B0" w:rsidRPr="002D08B0" w:rsidRDefault="002D08B0" w:rsidP="002D08B0">
            <w:pPr>
              <w:bidi/>
              <w:spacing w:after="0"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tl/>
              </w:rPr>
              <w:t>45000</w:t>
            </w:r>
          </w:p>
        </w:tc>
        <w:tc>
          <w:tcPr>
            <w:tcW w:w="1588" w:type="dxa"/>
            <w:tcBorders>
              <w:top w:val="nil"/>
              <w:left w:val="single" w:sz="18" w:space="0" w:color="auto"/>
              <w:bottom w:val="single" w:sz="18" w:space="0" w:color="auto"/>
              <w:right w:val="nil"/>
            </w:tcBorders>
            <w:shd w:val="clear" w:color="auto" w:fill="C6D8EA"/>
            <w:tcMar>
              <w:top w:w="80" w:type="dxa"/>
              <w:left w:w="80" w:type="dxa"/>
              <w:bottom w:w="80" w:type="dxa"/>
              <w:right w:w="80" w:type="dxa"/>
            </w:tcMar>
            <w:vAlign w:val="center"/>
            <w:hideMark/>
          </w:tcPr>
          <w:p w:rsidR="002D08B0" w:rsidRPr="002D08B0" w:rsidRDefault="002D08B0" w:rsidP="002D08B0">
            <w:pPr>
              <w:bidi/>
              <w:spacing w:after="0"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tl/>
              </w:rPr>
              <w:t>16500</w:t>
            </w:r>
          </w:p>
        </w:tc>
        <w:tc>
          <w:tcPr>
            <w:tcW w:w="1587" w:type="dxa"/>
            <w:tcBorders>
              <w:top w:val="nil"/>
              <w:left w:val="single" w:sz="18" w:space="0" w:color="auto"/>
              <w:bottom w:val="single" w:sz="18" w:space="0" w:color="auto"/>
              <w:right w:val="nil"/>
            </w:tcBorders>
            <w:shd w:val="clear" w:color="auto" w:fill="C6D8EA"/>
            <w:tcMar>
              <w:top w:w="80" w:type="dxa"/>
              <w:left w:w="80" w:type="dxa"/>
              <w:bottom w:w="80" w:type="dxa"/>
              <w:right w:w="80" w:type="dxa"/>
            </w:tcMar>
            <w:vAlign w:val="center"/>
            <w:hideMark/>
          </w:tcPr>
          <w:p w:rsidR="002D08B0" w:rsidRPr="002D08B0" w:rsidRDefault="002D08B0" w:rsidP="002D08B0">
            <w:pPr>
              <w:bidi/>
              <w:spacing w:after="0"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tl/>
              </w:rPr>
              <w:t>87000</w:t>
            </w:r>
          </w:p>
        </w:tc>
      </w:tr>
    </w:tbl>
    <w:p w:rsidR="002D08B0" w:rsidRPr="002D08B0" w:rsidRDefault="002D08B0" w:rsidP="002D08B0">
      <w:pPr>
        <w:spacing w:before="100" w:beforeAutospacing="1" w:after="100" w:afterAutospacing="1"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Pr>
        <w:t> </w:t>
      </w:r>
    </w:p>
    <w:p w:rsidR="002D08B0" w:rsidRPr="002D08B0" w:rsidRDefault="002D08B0" w:rsidP="002D08B0">
      <w:pPr>
        <w:spacing w:before="100" w:beforeAutospacing="1" w:after="100" w:afterAutospacing="1"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Pr>
        <w:t> </w:t>
      </w:r>
    </w:p>
    <w:p w:rsidR="002D08B0" w:rsidRPr="002D08B0" w:rsidRDefault="002D08B0" w:rsidP="002D08B0">
      <w:pPr>
        <w:spacing w:before="100" w:beforeAutospacing="1" w:after="100" w:afterAutospacing="1"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b/>
          <w:bCs/>
          <w:color w:val="0B4CA6"/>
          <w:sz w:val="24"/>
          <w:szCs w:val="24"/>
          <w:rtl/>
        </w:rPr>
        <w:t>افشای اطلاعات قسمتهای عملیاتی گزارشگر</w:t>
      </w: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tl/>
        </w:rPr>
        <w:t>استاندارد بین‌المللی گزارشگری مالی شماره 8، چارچوبی ارائه می‌کند که باید مبنای افشای اطلاعات قسمتها قرار گیرد</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t xml:space="preserve">1- </w:t>
      </w:r>
      <w:r w:rsidRPr="002D08B0">
        <w:rPr>
          <w:rFonts w:ascii="Times New Roman" w:eastAsia="Times New Roman" w:hAnsi="Times New Roman" w:cs="B Nazanin"/>
          <w:sz w:val="24"/>
          <w:szCs w:val="24"/>
          <w:rtl/>
        </w:rPr>
        <w:t>واحدهای تجاری باید اطلاعات کلی مربوط به نحوه تعیین قسمتهای قابل گزارش و انواع خدمات و محصولاتی را که درامد قسمتهای قابل گزارش از آن حاصل می‌شود، ارائه کنند</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t xml:space="preserve">2- </w:t>
      </w:r>
      <w:r w:rsidRPr="002D08B0">
        <w:rPr>
          <w:rFonts w:ascii="Times New Roman" w:eastAsia="Times New Roman" w:hAnsi="Times New Roman" w:cs="B Nazanin"/>
          <w:sz w:val="24"/>
          <w:szCs w:val="24"/>
          <w:rtl/>
        </w:rPr>
        <w:t>واحدهای تجاری باید به گزارشگری رویه حسابداری مورد استفاده برای اندازه‌گیری سود یا زیان و مجموع داراییهای هر یک از قسمتهای قابل گزارش بپردازند. رویه حسابداری مورد استفاده برای اندازه‌گیری سود یا زیان و مجموع داراییها باید بر مبنای اطلاعات تهیه شده برای تصمیم‌گیرنده ارشد عملیاتی باشد. اگر اطلاعات مربوط به بدهیهای قسمتهای عملیاتی به‌طور مرتب برای تصمیم‌گیرنده ارشد عملیاتی تهیه شوند، این بدهیها نیز باید بر مبنای هر قسمت گزارش گردند</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tl/>
        </w:rPr>
        <w:t>استاندارد بین‌المللی گزارشگری مالی شماره 8 افشای مواردی را تصریح کرده که مبالغ آنها برای اندازه‌گیری سود یا زیان و مجموع داراییها به‌کار رفته است</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t xml:space="preserve">• </w:t>
      </w:r>
      <w:r w:rsidRPr="002D08B0">
        <w:rPr>
          <w:rFonts w:ascii="Times New Roman" w:eastAsia="Times New Roman" w:hAnsi="Times New Roman" w:cs="B Nazanin"/>
          <w:sz w:val="24"/>
          <w:szCs w:val="24"/>
          <w:rtl/>
        </w:rPr>
        <w:t>درامدهای درون‌سازمانی و برون‌سازمانی؛</w:t>
      </w:r>
      <w:r w:rsidRPr="002D08B0">
        <w:rPr>
          <w:rFonts w:ascii="Times New Roman" w:eastAsia="Times New Roman" w:hAnsi="Times New Roman" w:cs="B Nazanin"/>
          <w:sz w:val="24"/>
          <w:szCs w:val="24"/>
        </w:rPr>
        <w:br/>
        <w:t xml:space="preserve">• </w:t>
      </w:r>
      <w:r w:rsidRPr="002D08B0">
        <w:rPr>
          <w:rFonts w:ascii="Times New Roman" w:eastAsia="Times New Roman" w:hAnsi="Times New Roman" w:cs="B Nazanin"/>
          <w:sz w:val="24"/>
          <w:szCs w:val="24"/>
          <w:rtl/>
        </w:rPr>
        <w:t>درامد و هزینه بهره؛ درامد و هزینه بهره نباید با یکدیگر تهاتر شوند مگر آنکه بخش عمده درامدهای قسمت، درامد بهره باشد و تصمیم‌گیرنده ارشد عملیاتی، عملکرد قسمت را بر مبنای خالص درامد بهره ارزیابی کند؛</w:t>
      </w:r>
      <w:r w:rsidRPr="002D08B0">
        <w:rPr>
          <w:rFonts w:ascii="Times New Roman" w:eastAsia="Times New Roman" w:hAnsi="Times New Roman" w:cs="B Nazanin"/>
          <w:sz w:val="24"/>
          <w:szCs w:val="24"/>
        </w:rPr>
        <w:br/>
        <w:t xml:space="preserve">• </w:t>
      </w:r>
      <w:r w:rsidRPr="002D08B0">
        <w:rPr>
          <w:rFonts w:ascii="Times New Roman" w:eastAsia="Times New Roman" w:hAnsi="Times New Roman" w:cs="B Nazanin"/>
          <w:sz w:val="24"/>
          <w:szCs w:val="24"/>
          <w:rtl/>
        </w:rPr>
        <w:t>استهلاک داراییهای ثابت مشهود و نامشهود؛</w:t>
      </w:r>
      <w:r w:rsidRPr="002D08B0">
        <w:rPr>
          <w:rFonts w:ascii="Times New Roman" w:eastAsia="Times New Roman" w:hAnsi="Times New Roman" w:cs="B Nazanin"/>
          <w:sz w:val="24"/>
          <w:szCs w:val="24"/>
        </w:rPr>
        <w:br/>
        <w:t xml:space="preserve">• </w:t>
      </w:r>
      <w:r w:rsidRPr="002D08B0">
        <w:rPr>
          <w:rFonts w:ascii="Times New Roman" w:eastAsia="Times New Roman" w:hAnsi="Times New Roman" w:cs="B Nazanin"/>
          <w:sz w:val="24"/>
          <w:szCs w:val="24"/>
          <w:rtl/>
        </w:rPr>
        <w:t>اقلام بااهمیت سود و هزینه باید به‌طور جداگانه افشا شوند؛</w:t>
      </w:r>
      <w:r w:rsidRPr="002D08B0">
        <w:rPr>
          <w:rFonts w:ascii="Times New Roman" w:eastAsia="Times New Roman" w:hAnsi="Times New Roman" w:cs="B Nazanin"/>
          <w:sz w:val="24"/>
          <w:szCs w:val="24"/>
        </w:rPr>
        <w:br/>
        <w:t xml:space="preserve">• </w:t>
      </w:r>
      <w:r w:rsidRPr="002D08B0">
        <w:rPr>
          <w:rFonts w:ascii="Times New Roman" w:eastAsia="Times New Roman" w:hAnsi="Times New Roman" w:cs="B Nazanin"/>
          <w:sz w:val="24"/>
          <w:szCs w:val="24"/>
          <w:rtl/>
        </w:rPr>
        <w:t>سهم سود پس از مالیات و ارزش دفتری سرمایه‌گذاری واحدهای تجاری که حسابداری آنها به روش ارزش ویژه انجام می‌شود؛</w:t>
      </w:r>
      <w:r w:rsidRPr="002D08B0">
        <w:rPr>
          <w:rFonts w:ascii="Times New Roman" w:eastAsia="Times New Roman" w:hAnsi="Times New Roman" w:cs="B Nazanin"/>
          <w:sz w:val="24"/>
          <w:szCs w:val="24"/>
        </w:rPr>
        <w:br/>
        <w:t xml:space="preserve">• </w:t>
      </w:r>
      <w:r w:rsidRPr="002D08B0">
        <w:rPr>
          <w:rFonts w:ascii="Times New Roman" w:eastAsia="Times New Roman" w:hAnsi="Times New Roman" w:cs="B Nazanin"/>
          <w:sz w:val="24"/>
          <w:szCs w:val="24"/>
          <w:rtl/>
        </w:rPr>
        <w:t>اقلام غیرنقدی بااهمیت به استثنای استهلاک داراییهای ثابت مشهود و نامشهود؛</w:t>
      </w:r>
      <w:r w:rsidRPr="002D08B0">
        <w:rPr>
          <w:rFonts w:ascii="Times New Roman" w:eastAsia="Times New Roman" w:hAnsi="Times New Roman" w:cs="B Nazanin"/>
          <w:sz w:val="24"/>
          <w:szCs w:val="24"/>
        </w:rPr>
        <w:br/>
        <w:t xml:space="preserve">• </w:t>
      </w:r>
      <w:r w:rsidRPr="002D08B0">
        <w:rPr>
          <w:rFonts w:ascii="Times New Roman" w:eastAsia="Times New Roman" w:hAnsi="Times New Roman" w:cs="B Nazanin"/>
          <w:sz w:val="24"/>
          <w:szCs w:val="24"/>
          <w:rtl/>
        </w:rPr>
        <w:t>مبالغ داراییهای غیرجاری به استثنای ابزار مالی، مالیات انتقالی به دوره‌های آینده، مزایای پایان خدمت کارکنان و حقوق ناشی از قراردادهای بیمه</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tl/>
        </w:rPr>
        <w:lastRenderedPageBreak/>
        <w:t>مبنای اندازه‌گیری هر یک از اقلامی که جداگانه گزارش شده‌اند، باید با مبنای اندازه‌گیری اطلاعاتی که برای تصمیم‌گیرنده ارشد عملیاتی تهیه شده است یكسان باشد. ممکن است سیستم گزارشگری مالی داخلی واحد تجاری بیش از یک رویه حسابداری برای اندازه‌گیری سود یا زیان یا داراییها یا بدهیهای قسمت عملیاتی به‌کار برد. در این شرایط، رویه‌های استفاده شده در گزارشگری قسمت باید رویه‌هایی باشند که به تشخیص مدیر، با رویه‌های اندازه‌گیری مبالغ مشابه در صورتهای مالی واحد تجاری سازگارترند</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tl/>
        </w:rPr>
        <w:t>واحدهای تجاری باید چندین صورت تطبیق اطلاعات افشاشده به‌شرح زیر تهیه کنند</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t xml:space="preserve">• </w:t>
      </w:r>
      <w:r w:rsidRPr="002D08B0">
        <w:rPr>
          <w:rFonts w:ascii="Times New Roman" w:eastAsia="Times New Roman" w:hAnsi="Times New Roman" w:cs="B Nazanin"/>
          <w:sz w:val="24"/>
          <w:szCs w:val="24"/>
          <w:rtl/>
        </w:rPr>
        <w:t>مجموع درامدهای قسمتهای قابل گزارش در برابر درامد واحد تجاری،</w:t>
      </w:r>
      <w:r w:rsidRPr="002D08B0">
        <w:rPr>
          <w:rFonts w:ascii="Times New Roman" w:eastAsia="Times New Roman" w:hAnsi="Times New Roman" w:cs="B Nazanin"/>
          <w:sz w:val="24"/>
          <w:szCs w:val="24"/>
        </w:rPr>
        <w:br/>
        <w:t xml:space="preserve">• </w:t>
      </w:r>
      <w:r w:rsidRPr="002D08B0">
        <w:rPr>
          <w:rFonts w:ascii="Times New Roman" w:eastAsia="Times New Roman" w:hAnsi="Times New Roman" w:cs="B Nazanin"/>
          <w:sz w:val="24"/>
          <w:szCs w:val="24"/>
          <w:rtl/>
        </w:rPr>
        <w:t>مجموع سود یا زیان قسمتهای قابل گزارش در برابر سود یا زیان واحد تجاری،</w:t>
      </w:r>
      <w:r w:rsidRPr="002D08B0">
        <w:rPr>
          <w:rFonts w:ascii="Times New Roman" w:eastAsia="Times New Roman" w:hAnsi="Times New Roman" w:cs="B Nazanin"/>
          <w:sz w:val="24"/>
          <w:szCs w:val="24"/>
        </w:rPr>
        <w:br/>
        <w:t xml:space="preserve">• </w:t>
      </w:r>
      <w:r w:rsidRPr="002D08B0">
        <w:rPr>
          <w:rFonts w:ascii="Times New Roman" w:eastAsia="Times New Roman" w:hAnsi="Times New Roman" w:cs="B Nazanin"/>
          <w:sz w:val="24"/>
          <w:szCs w:val="24"/>
          <w:rtl/>
        </w:rPr>
        <w:t>مجموع داراییهای قسمتهای قابل گزارش در برابر داراییهای واحد تجاری،</w:t>
      </w:r>
      <w:r w:rsidRPr="002D08B0">
        <w:rPr>
          <w:rFonts w:ascii="Times New Roman" w:eastAsia="Times New Roman" w:hAnsi="Times New Roman" w:cs="B Nazanin"/>
          <w:sz w:val="24"/>
          <w:szCs w:val="24"/>
        </w:rPr>
        <w:br/>
        <w:t xml:space="preserve">• </w:t>
      </w:r>
      <w:r w:rsidRPr="002D08B0">
        <w:rPr>
          <w:rFonts w:ascii="Times New Roman" w:eastAsia="Times New Roman" w:hAnsi="Times New Roman" w:cs="B Nazanin"/>
          <w:sz w:val="24"/>
          <w:szCs w:val="24"/>
          <w:rtl/>
        </w:rPr>
        <w:t>مجموع بدهیهای قسمتهای قابل گزارش (اگر به‌طور جداگانه تشخیص داده شوند) در برابر بدهیهای واحد تجاری، و</w:t>
      </w:r>
      <w:r w:rsidRPr="002D08B0">
        <w:rPr>
          <w:rFonts w:ascii="Times New Roman" w:eastAsia="Times New Roman" w:hAnsi="Times New Roman" w:cs="B Nazanin"/>
          <w:sz w:val="24"/>
          <w:szCs w:val="24"/>
        </w:rPr>
        <w:br/>
        <w:t xml:space="preserve">• </w:t>
      </w:r>
      <w:r w:rsidRPr="002D08B0">
        <w:rPr>
          <w:rFonts w:ascii="Times New Roman" w:eastAsia="Times New Roman" w:hAnsi="Times New Roman" w:cs="B Nazanin"/>
          <w:sz w:val="24"/>
          <w:szCs w:val="24"/>
          <w:rtl/>
        </w:rPr>
        <w:t>مجموع مبالغ سایر اقلام بااهمیت افشاشده توسط قسمتهای قابل گزارش در برابر مبالغ اقلام مشابه واحد تجاری</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Pr>
        <w:br/>
      </w:r>
      <w:r w:rsidRPr="002D08B0">
        <w:rPr>
          <w:rFonts w:ascii="Times New Roman" w:eastAsia="Times New Roman" w:hAnsi="Times New Roman" w:cs="B Nazanin"/>
          <w:b/>
          <w:bCs/>
          <w:color w:val="0B4CA6"/>
          <w:sz w:val="24"/>
          <w:szCs w:val="24"/>
          <w:rtl/>
        </w:rPr>
        <w:t>افشا در سطح واحد تجاری</w:t>
      </w:r>
      <w:r w:rsidRPr="002D08B0">
        <w:rPr>
          <w:rFonts w:ascii="Times New Roman" w:eastAsia="Times New Roman" w:hAnsi="Times New Roman" w:cs="B Nazanin"/>
          <w:b/>
          <w:bCs/>
          <w:color w:val="0B4CA6"/>
          <w:sz w:val="24"/>
          <w:szCs w:val="24"/>
          <w:vertAlign w:val="superscript"/>
        </w:rPr>
        <w:t>11</w:t>
      </w:r>
      <w:r w:rsidRPr="002D08B0">
        <w:rPr>
          <w:rFonts w:ascii="Times New Roman" w:eastAsia="Times New Roman" w:hAnsi="Times New Roman" w:cs="B Nazanin"/>
          <w:b/>
          <w:bCs/>
          <w:color w:val="0B4CA6"/>
          <w:sz w:val="24"/>
          <w:szCs w:val="24"/>
        </w:rPr>
        <w:t xml:space="preserve"> </w:t>
      </w: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tl/>
        </w:rPr>
        <w:t>طبق استاندارد بین‌المللی گزارشگری مالی شماره 8، واحدهای تجاری باید اطلاعات مربوط به درامدهای خود را بر مبنای قسمتهای جغرافیایی و تجاری ارائه کنند. همچنین واحدهای تجاری باید اطلاعات مربوط به داراییهای غیرجاری خود را بر مبنای قسمتهای جغرافیایی ارائه کنند، ولی ارائه اطلاعات مربوط به داراییهای غیرجاری بر مبنای قسمتهای تجاری ضرورت ندارد</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tl/>
        </w:rPr>
        <w:t>اگر درامدهای حاصل از معامله با یک مشتری برون‌سازمانی حداقل 10درصد مجموع درامد واحد تجاری باشد، واحد تجاری باید علاوه بر افشای آن، موارد زیر را نیز افشا کند</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t xml:space="preserve">• </w:t>
      </w:r>
      <w:r w:rsidRPr="002D08B0">
        <w:rPr>
          <w:rFonts w:ascii="Times New Roman" w:eastAsia="Times New Roman" w:hAnsi="Times New Roman" w:cs="B Nazanin"/>
          <w:sz w:val="24"/>
          <w:szCs w:val="24"/>
          <w:rtl/>
        </w:rPr>
        <w:t>مجموع درامد حاصل از معامله با هر یک از مشتریان (افشای نام آنها ضرورت ندارد)، و</w:t>
      </w:r>
      <w:r w:rsidRPr="002D08B0">
        <w:rPr>
          <w:rFonts w:ascii="Times New Roman" w:eastAsia="Times New Roman" w:hAnsi="Times New Roman" w:cs="B Nazanin"/>
          <w:sz w:val="24"/>
          <w:szCs w:val="24"/>
        </w:rPr>
        <w:br/>
        <w:t xml:space="preserve">• </w:t>
      </w:r>
      <w:r w:rsidRPr="002D08B0">
        <w:rPr>
          <w:rFonts w:ascii="Times New Roman" w:eastAsia="Times New Roman" w:hAnsi="Times New Roman" w:cs="B Nazanin"/>
          <w:sz w:val="24"/>
          <w:szCs w:val="24"/>
          <w:rtl/>
        </w:rPr>
        <w:t>درامدهای هر قسمت یا قسمتهای گزارش‌کننده درامد</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tl/>
        </w:rPr>
        <w:t>حتی اگر واحد تجاری فقط یک قسمت عملیاتی داشته باشد، افشا در سطح واحد تجاری ضرورت دارد و بنابراین گزارشگری بر حسب قسمتهای مختلف به‌طور اثربخش وجود نخواهد داشت</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tl/>
        </w:rPr>
        <w:t>تاریخ اجرای استاندارد خارج از اتحادیه اروپا</w:t>
      </w:r>
      <w:r w:rsidRPr="002D08B0">
        <w:rPr>
          <w:rFonts w:ascii="Times New Roman" w:eastAsia="Times New Roman" w:hAnsi="Times New Roman" w:cs="B Nazanin"/>
          <w:sz w:val="24"/>
          <w:szCs w:val="24"/>
          <w:vertAlign w:val="superscript"/>
        </w:rPr>
        <w:t>12</w:t>
      </w:r>
      <w:r w:rsidRPr="002D08B0">
        <w:rPr>
          <w:rFonts w:ascii="Times New Roman" w:eastAsia="Times New Roman" w:hAnsi="Times New Roman" w:cs="B Nazanin"/>
          <w:sz w:val="24"/>
          <w:szCs w:val="24"/>
        </w:rPr>
        <w:t xml:space="preserve"> </w:t>
      </w: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tl/>
        </w:rPr>
        <w:t xml:space="preserve">این استاندارد برای صورتهای مالی که شروع دوره مالی آنها اول ژانویه سال </w:t>
      </w:r>
      <w:r w:rsidRPr="002D08B0">
        <w:rPr>
          <w:rFonts w:ascii="Times New Roman" w:eastAsia="Times New Roman" w:hAnsi="Times New Roman" w:cs="B Nazanin"/>
          <w:sz w:val="24"/>
          <w:szCs w:val="24"/>
        </w:rPr>
        <w:t xml:space="preserve">2009 </w:t>
      </w:r>
      <w:r w:rsidRPr="002D08B0">
        <w:rPr>
          <w:rFonts w:ascii="Times New Roman" w:eastAsia="Times New Roman" w:hAnsi="Times New Roman" w:cs="B Nazanin"/>
          <w:sz w:val="24"/>
          <w:szCs w:val="24"/>
          <w:rtl/>
        </w:rPr>
        <w:t>و پس از آن است، لازم‌الاجراست. اجرای پیش از موعد استاندارد مجاز است، ولی واحد تجاری باید این موضوع را در صورتهای مالی خود افشا کند</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Pr>
        <w:br/>
      </w:r>
      <w:r w:rsidRPr="002D08B0">
        <w:rPr>
          <w:rFonts w:ascii="Times New Roman" w:eastAsia="Times New Roman" w:hAnsi="Times New Roman" w:cs="B Nazanin"/>
          <w:b/>
          <w:bCs/>
          <w:color w:val="0B4CA6"/>
          <w:sz w:val="24"/>
          <w:szCs w:val="24"/>
          <w:rtl/>
        </w:rPr>
        <w:t>پذیرش استاندارد بین‌المللی گزارشگری مالی در اتحادیه اروپا</w:t>
      </w: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tl/>
        </w:rPr>
        <w:t>در اتحادیه اروپا، برای صورتهای مالی که شروع دوره مالی آنها اول ژانویه سال 2005 و پس از آن است، باید الزامات استانداردهای بین‌المللی رعایت شوند. اتحادیه اروپا هنوز استاندارد بین‌المللی گزارشگری مالی شماره 8 را نپذیرفته و همچنان استاندارد بین‌المللی شماره 14 را اجرا می‌کند. برخی از ذینفعان بر این باورند که استاندارد بین‌المللی گزارشگری مالی شماره 8 به‌دلیل اختیارعملهای بسیاری که به مدیران اعطا می‌کند، دچار نقص و کاستی است</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tl/>
        </w:rPr>
        <w:t>در ماه مه، ‌هیئت اجرایی اتحادیه اروپا</w:t>
      </w:r>
      <w:r w:rsidRPr="002D08B0">
        <w:rPr>
          <w:rFonts w:ascii="Times New Roman" w:eastAsia="Times New Roman" w:hAnsi="Times New Roman" w:cs="B Nazanin"/>
          <w:sz w:val="24"/>
          <w:szCs w:val="24"/>
          <w:vertAlign w:val="superscript"/>
        </w:rPr>
        <w:t>13</w:t>
      </w:r>
      <w:r w:rsidRPr="002D08B0">
        <w:rPr>
          <w:rFonts w:ascii="Times New Roman" w:eastAsia="Times New Roman" w:hAnsi="Times New Roman" w:cs="B Nazanin"/>
          <w:sz w:val="24"/>
          <w:szCs w:val="24"/>
        </w:rPr>
        <w:t xml:space="preserve"> </w:t>
      </w:r>
      <w:r w:rsidRPr="002D08B0">
        <w:rPr>
          <w:rFonts w:ascii="Times New Roman" w:eastAsia="Times New Roman" w:hAnsi="Times New Roman" w:cs="B Nazanin"/>
          <w:sz w:val="24"/>
          <w:szCs w:val="24"/>
          <w:rtl/>
        </w:rPr>
        <w:t>پژوهشی در خصوص انتشار استاندارد بین‌المللی گزارشگری مالی شماره 8 انجام داد و نتیجه آن را طی گزارشی در سوم سپتامبر 2007 به اتحادیه اروپا ارائه کرد. تحلیل تفصیلی آثار استاندارد بین‌المللی گزارشگری مالی شماره 8 نتایج زیر را به‌همراه داشته است</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t xml:space="preserve">• </w:t>
      </w:r>
      <w:r w:rsidRPr="002D08B0">
        <w:rPr>
          <w:rFonts w:ascii="Times New Roman" w:eastAsia="Times New Roman" w:hAnsi="Times New Roman" w:cs="B Nazanin"/>
          <w:sz w:val="24"/>
          <w:szCs w:val="24"/>
          <w:rtl/>
        </w:rPr>
        <w:t>اثر کلی استفاده از رویکرد مدیریتی بر کیفیت اطلاعات قسمت، مثبت بوده و مربوط بودن و مفید بودن آن را افزایش می‌دهد</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r>
      <w:proofErr w:type="gramStart"/>
      <w:r w:rsidRPr="002D08B0">
        <w:rPr>
          <w:rFonts w:ascii="Times New Roman" w:eastAsia="Times New Roman" w:hAnsi="Times New Roman" w:cs="B Nazanin"/>
          <w:sz w:val="24"/>
          <w:szCs w:val="24"/>
        </w:rPr>
        <w:t xml:space="preserve">• </w:t>
      </w:r>
      <w:r w:rsidRPr="002D08B0">
        <w:rPr>
          <w:rFonts w:ascii="Times New Roman" w:eastAsia="Times New Roman" w:hAnsi="Times New Roman" w:cs="B Nazanin"/>
          <w:sz w:val="24"/>
          <w:szCs w:val="24"/>
          <w:rtl/>
        </w:rPr>
        <w:t>اهمیت افزایش در ویژگیهای کیفی مربوط بودن و مفید بودن اطلاعات قسمت بر مبنای رویکرد مدیریتی، از اظهار نگرانی درباره مقایسه‌پذیری گزارشهای مالی، بیشتر است</w:t>
      </w:r>
      <w:r w:rsidRPr="002D08B0">
        <w:rPr>
          <w:rFonts w:ascii="Times New Roman" w:eastAsia="Times New Roman" w:hAnsi="Times New Roman" w:cs="B Nazanin"/>
          <w:sz w:val="24"/>
          <w:szCs w:val="24"/>
        </w:rPr>
        <w:t>.</w:t>
      </w:r>
      <w:proofErr w:type="gramEnd"/>
      <w:r w:rsidRPr="002D08B0">
        <w:rPr>
          <w:rFonts w:ascii="Times New Roman" w:eastAsia="Times New Roman" w:hAnsi="Times New Roman" w:cs="B Nazanin"/>
          <w:sz w:val="24"/>
          <w:szCs w:val="24"/>
        </w:rPr>
        <w:br/>
      </w:r>
      <w:proofErr w:type="gramStart"/>
      <w:r w:rsidRPr="002D08B0">
        <w:rPr>
          <w:rFonts w:ascii="Times New Roman" w:eastAsia="Times New Roman" w:hAnsi="Times New Roman" w:cs="B Nazanin"/>
          <w:sz w:val="24"/>
          <w:szCs w:val="24"/>
        </w:rPr>
        <w:lastRenderedPageBreak/>
        <w:t xml:space="preserve">• </w:t>
      </w:r>
      <w:r w:rsidRPr="002D08B0">
        <w:rPr>
          <w:rFonts w:ascii="Times New Roman" w:eastAsia="Times New Roman" w:hAnsi="Times New Roman" w:cs="B Nazanin"/>
          <w:sz w:val="24"/>
          <w:szCs w:val="24"/>
          <w:rtl/>
        </w:rPr>
        <w:t xml:space="preserve">استاندارد بین‌المللی گزارشگری مالی شماره 8، نیازهای جهانی استفاده‌کنندگان صورتهای مالی را به‌درستی به‌وسیله افشای اطلاعات قسمتهای جغرافیایی مورد توجه قرار داده است و نباید این اطلاعات در مقایسه با استاندارد بین‌المللی حسابداری شماره </w:t>
      </w:r>
      <w:r w:rsidRPr="002D08B0">
        <w:rPr>
          <w:rFonts w:ascii="Times New Roman" w:eastAsia="Times New Roman" w:hAnsi="Times New Roman" w:cs="B Nazanin"/>
          <w:sz w:val="24"/>
          <w:szCs w:val="24"/>
        </w:rPr>
        <w:t>14</w:t>
      </w:r>
      <w:r w:rsidRPr="002D08B0">
        <w:rPr>
          <w:rFonts w:ascii="Times New Roman" w:eastAsia="Times New Roman" w:hAnsi="Times New Roman" w:cs="B Nazanin"/>
          <w:sz w:val="24"/>
          <w:szCs w:val="24"/>
          <w:rtl/>
        </w:rPr>
        <w:t>، کاهش یابند</w:t>
      </w:r>
      <w:r w:rsidRPr="002D08B0">
        <w:rPr>
          <w:rFonts w:ascii="Times New Roman" w:eastAsia="Times New Roman" w:hAnsi="Times New Roman" w:cs="B Nazanin"/>
          <w:sz w:val="24"/>
          <w:szCs w:val="24"/>
        </w:rPr>
        <w:t>.</w:t>
      </w:r>
      <w:proofErr w:type="gramEnd"/>
      <w:r w:rsidRPr="002D08B0">
        <w:rPr>
          <w:rFonts w:ascii="Times New Roman" w:eastAsia="Times New Roman" w:hAnsi="Times New Roman" w:cs="B Nazanin"/>
          <w:sz w:val="24"/>
          <w:szCs w:val="24"/>
        </w:rPr>
        <w:br/>
      </w:r>
      <w:proofErr w:type="gramStart"/>
      <w:r w:rsidRPr="002D08B0">
        <w:rPr>
          <w:rFonts w:ascii="Times New Roman" w:eastAsia="Times New Roman" w:hAnsi="Times New Roman" w:cs="B Nazanin"/>
          <w:sz w:val="24"/>
          <w:szCs w:val="24"/>
        </w:rPr>
        <w:t xml:space="preserve">• </w:t>
      </w:r>
      <w:r w:rsidRPr="002D08B0">
        <w:rPr>
          <w:rFonts w:ascii="Times New Roman" w:eastAsia="Times New Roman" w:hAnsi="Times New Roman" w:cs="B Nazanin"/>
          <w:sz w:val="24"/>
          <w:szCs w:val="24"/>
          <w:rtl/>
        </w:rPr>
        <w:t>استاندارد بین‌المللی گزارشگری مالی شماره 8، مشکلات مرتبط با راهبری شرکتی در اتحادیه اروپا، به‌وجود نمی‌آورد</w:t>
      </w:r>
      <w:r w:rsidRPr="002D08B0">
        <w:rPr>
          <w:rFonts w:ascii="Times New Roman" w:eastAsia="Times New Roman" w:hAnsi="Times New Roman" w:cs="B Nazanin"/>
          <w:sz w:val="24"/>
          <w:szCs w:val="24"/>
        </w:rPr>
        <w:t>.</w:t>
      </w:r>
      <w:proofErr w:type="gramEnd"/>
      <w:r w:rsidRPr="002D08B0">
        <w:rPr>
          <w:rFonts w:ascii="Times New Roman" w:eastAsia="Times New Roman" w:hAnsi="Times New Roman" w:cs="B Nazanin"/>
          <w:sz w:val="24"/>
          <w:szCs w:val="24"/>
        </w:rPr>
        <w:br/>
      </w:r>
      <w:proofErr w:type="gramStart"/>
      <w:r w:rsidRPr="002D08B0">
        <w:rPr>
          <w:rFonts w:ascii="Times New Roman" w:eastAsia="Times New Roman" w:hAnsi="Times New Roman" w:cs="B Nazanin"/>
          <w:sz w:val="24"/>
          <w:szCs w:val="24"/>
        </w:rPr>
        <w:t xml:space="preserve">• </w:t>
      </w:r>
      <w:r w:rsidRPr="002D08B0">
        <w:rPr>
          <w:rFonts w:ascii="Times New Roman" w:eastAsia="Times New Roman" w:hAnsi="Times New Roman" w:cs="B Nazanin"/>
          <w:sz w:val="24"/>
          <w:szCs w:val="24"/>
          <w:rtl/>
        </w:rPr>
        <w:t>استاندارد بین‌المللی گزارشگری مالی شماره 8، مقرراتی برای گزارشگری قسمتهای مختلف واحدهای تجاری ارائه می‌کند که برای شرکتهای سهامی عام کوچکتر مناسب است</w:t>
      </w:r>
      <w:r w:rsidRPr="002D08B0">
        <w:rPr>
          <w:rFonts w:ascii="Times New Roman" w:eastAsia="Times New Roman" w:hAnsi="Times New Roman" w:cs="B Nazanin"/>
          <w:sz w:val="24"/>
          <w:szCs w:val="24"/>
        </w:rPr>
        <w:t>.</w:t>
      </w:r>
      <w:proofErr w:type="gramEnd"/>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tl/>
        </w:rPr>
        <w:t xml:space="preserve">نتایج گزارش نشان می‌دهد که پذیرش سریع استاندارد بین‌المللی گزارشگری مالی شماره </w:t>
      </w:r>
      <w:r w:rsidRPr="002D08B0">
        <w:rPr>
          <w:rFonts w:ascii="Times New Roman" w:eastAsia="Times New Roman" w:hAnsi="Times New Roman" w:cs="B Nazanin"/>
          <w:sz w:val="24"/>
          <w:szCs w:val="24"/>
        </w:rPr>
        <w:t>8</w:t>
      </w:r>
      <w:r w:rsidRPr="002D08B0">
        <w:rPr>
          <w:rFonts w:ascii="Times New Roman" w:eastAsia="Times New Roman" w:hAnsi="Times New Roman" w:cs="B Nazanin"/>
          <w:sz w:val="24"/>
          <w:szCs w:val="24"/>
          <w:rtl/>
        </w:rPr>
        <w:t>، بی‌اطمینانی نسبت به رویه‌های حسابداری مورد استفاده برای صورتهای مالی را که پایان دوره مالی آنها 31 دسامبر 2007 است برطرف می‌کند و از هدف اتحادیه اروپا برای به رسمیت شناختن استانداردهای بین‌المللی گزارشگری مالی در تمام مناطق از جمله امریکا، حمایت به‌عمل می‌آورد، بدون آنکه نیاز به تطبیق رویه‌های حسابداری باشد</w:t>
      </w:r>
      <w:r w:rsidRPr="002D08B0">
        <w:rPr>
          <w:rFonts w:ascii="Times New Roman" w:eastAsia="Times New Roman" w:hAnsi="Times New Roman" w:cs="B Nazanin"/>
          <w:sz w:val="24"/>
          <w:szCs w:val="24"/>
        </w:rPr>
        <w:t>.</w:t>
      </w:r>
      <w:r w:rsidRPr="002D08B0">
        <w:rPr>
          <w:rFonts w:ascii="Times New Roman" w:eastAsia="Times New Roman" w:hAnsi="Times New Roman" w:cs="B Nazanin"/>
          <w:sz w:val="24"/>
          <w:szCs w:val="24"/>
        </w:rPr>
        <w:br/>
      </w:r>
      <w:r w:rsidRPr="002D08B0">
        <w:rPr>
          <w:rFonts w:ascii="Times New Roman" w:eastAsia="Times New Roman" w:hAnsi="Times New Roman" w:cs="B Nazanin"/>
          <w:sz w:val="24"/>
          <w:szCs w:val="24"/>
        </w:rPr>
        <w:br/>
      </w:r>
      <w:r w:rsidRPr="002D08B0">
        <w:rPr>
          <w:rFonts w:ascii="Times New Roman" w:eastAsia="Times New Roman" w:hAnsi="Times New Roman" w:cs="B Nazanin"/>
          <w:b/>
          <w:bCs/>
          <w:color w:val="0B4CA6"/>
          <w:sz w:val="24"/>
          <w:szCs w:val="24"/>
          <w:rtl/>
        </w:rPr>
        <w:t>پانوشتها</w:t>
      </w:r>
      <w:r w:rsidRPr="002D08B0">
        <w:rPr>
          <w:rFonts w:ascii="Times New Roman" w:eastAsia="Times New Roman" w:hAnsi="Times New Roman" w:cs="B Nazanin"/>
          <w:sz w:val="24"/>
          <w:szCs w:val="24"/>
        </w:rPr>
        <w:br/>
        <w:t>1- CPD</w:t>
      </w:r>
      <w:r w:rsidRPr="002D08B0">
        <w:rPr>
          <w:rFonts w:ascii="Times New Roman" w:eastAsia="Times New Roman" w:hAnsi="Times New Roman" w:cs="B Nazanin"/>
          <w:sz w:val="24"/>
          <w:szCs w:val="24"/>
        </w:rPr>
        <w:br/>
        <w:t>2- Unit Route</w:t>
      </w:r>
      <w:r w:rsidRPr="002D08B0">
        <w:rPr>
          <w:rFonts w:ascii="Times New Roman" w:eastAsia="Times New Roman" w:hAnsi="Times New Roman" w:cs="B Nazanin"/>
          <w:sz w:val="24"/>
          <w:szCs w:val="24"/>
        </w:rPr>
        <w:br/>
        <w:t>3- International Accounting Standards Board (IASB)</w:t>
      </w:r>
      <w:r w:rsidRPr="002D08B0">
        <w:rPr>
          <w:rFonts w:ascii="Times New Roman" w:eastAsia="Times New Roman" w:hAnsi="Times New Roman" w:cs="B Nazanin"/>
          <w:sz w:val="24"/>
          <w:szCs w:val="24"/>
        </w:rPr>
        <w:br/>
        <w:t>4- International Financial Reporting Standards (IFRS)</w:t>
      </w:r>
      <w:r w:rsidRPr="002D08B0">
        <w:rPr>
          <w:rFonts w:ascii="Times New Roman" w:eastAsia="Times New Roman" w:hAnsi="Times New Roman" w:cs="B Nazanin"/>
          <w:sz w:val="24"/>
          <w:szCs w:val="24"/>
        </w:rPr>
        <w:br/>
        <w:t>5- US Financial Accounting Standards Board (FASB)</w:t>
      </w:r>
      <w:r w:rsidRPr="002D08B0">
        <w:rPr>
          <w:rFonts w:ascii="Times New Roman" w:eastAsia="Times New Roman" w:hAnsi="Times New Roman" w:cs="B Nazanin"/>
          <w:sz w:val="24"/>
          <w:szCs w:val="24"/>
        </w:rPr>
        <w:br/>
        <w:t>6- Reconciliation Requirement</w:t>
      </w:r>
      <w:r w:rsidRPr="002D08B0">
        <w:rPr>
          <w:rFonts w:ascii="Times New Roman" w:eastAsia="Times New Roman" w:hAnsi="Times New Roman" w:cs="B Nazanin"/>
          <w:sz w:val="24"/>
          <w:szCs w:val="24"/>
        </w:rPr>
        <w:br/>
        <w:t>7- Segment Information</w:t>
      </w:r>
      <w:r w:rsidRPr="002D08B0">
        <w:rPr>
          <w:rFonts w:ascii="Times New Roman" w:eastAsia="Times New Roman" w:hAnsi="Times New Roman" w:cs="B Nazanin"/>
          <w:sz w:val="24"/>
          <w:szCs w:val="24"/>
        </w:rPr>
        <w:br/>
        <w:t xml:space="preserve">8- Chief Operating Decision Maker </w:t>
      </w:r>
      <w:r w:rsidRPr="002D08B0">
        <w:rPr>
          <w:rFonts w:ascii="Times New Roman" w:eastAsia="Times New Roman" w:hAnsi="Times New Roman" w:cs="B Nazanin"/>
          <w:sz w:val="24"/>
          <w:szCs w:val="24"/>
        </w:rPr>
        <w:br/>
        <w:t>9- Management Approach</w:t>
      </w:r>
      <w:r w:rsidRPr="002D08B0">
        <w:rPr>
          <w:rFonts w:ascii="Times New Roman" w:eastAsia="Times New Roman" w:hAnsi="Times New Roman" w:cs="B Nazanin"/>
          <w:sz w:val="24"/>
          <w:szCs w:val="24"/>
        </w:rPr>
        <w:br/>
        <w:t>10- Quantitative Thresholds</w:t>
      </w:r>
      <w:r w:rsidRPr="002D08B0">
        <w:rPr>
          <w:rFonts w:ascii="Times New Roman" w:eastAsia="Times New Roman" w:hAnsi="Times New Roman" w:cs="B Nazanin"/>
          <w:sz w:val="24"/>
          <w:szCs w:val="24"/>
        </w:rPr>
        <w:br/>
        <w:t>11- Entity-Wide Disclosure</w:t>
      </w:r>
      <w:r w:rsidRPr="002D08B0">
        <w:rPr>
          <w:rFonts w:ascii="Times New Roman" w:eastAsia="Times New Roman" w:hAnsi="Times New Roman" w:cs="B Nazanin"/>
          <w:sz w:val="24"/>
          <w:szCs w:val="24"/>
        </w:rPr>
        <w:br/>
        <w:t>12- European Union</w:t>
      </w:r>
      <w:r w:rsidRPr="002D08B0">
        <w:rPr>
          <w:rFonts w:ascii="Times New Roman" w:eastAsia="Times New Roman" w:hAnsi="Times New Roman" w:cs="B Nazanin"/>
          <w:sz w:val="24"/>
          <w:szCs w:val="24"/>
        </w:rPr>
        <w:br/>
        <w:t>13- European Commission</w:t>
      </w:r>
      <w:r w:rsidRPr="002D08B0">
        <w:rPr>
          <w:rFonts w:ascii="Times New Roman" w:eastAsia="Times New Roman" w:hAnsi="Times New Roman" w:cs="B Nazanin"/>
          <w:sz w:val="24"/>
          <w:szCs w:val="24"/>
        </w:rPr>
        <w:br/>
        <w:t> </w:t>
      </w:r>
    </w:p>
    <w:p w:rsidR="002D08B0" w:rsidRPr="002D08B0" w:rsidRDefault="002D08B0" w:rsidP="002D08B0">
      <w:pPr>
        <w:spacing w:before="100" w:beforeAutospacing="1" w:after="100" w:afterAutospacing="1"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b/>
          <w:bCs/>
          <w:color w:val="0B4CA6"/>
          <w:sz w:val="24"/>
          <w:szCs w:val="24"/>
          <w:rtl/>
        </w:rPr>
        <w:t>منبع</w:t>
      </w:r>
      <w:r w:rsidRPr="002D08B0">
        <w:rPr>
          <w:rFonts w:ascii="Times New Roman" w:eastAsia="Times New Roman" w:hAnsi="Times New Roman" w:cs="B Nazanin"/>
          <w:sz w:val="24"/>
          <w:szCs w:val="24"/>
          <w:rtl/>
        </w:rPr>
        <w:t xml:space="preserve"> </w:t>
      </w:r>
      <w:r w:rsidRPr="002D08B0">
        <w:rPr>
          <w:rFonts w:ascii="Times New Roman" w:eastAsia="Times New Roman" w:hAnsi="Times New Roman" w:cs="B Nazanin"/>
          <w:sz w:val="24"/>
          <w:szCs w:val="24"/>
        </w:rPr>
        <w:br/>
        <w:t>• Robins P., IFRS 8, Operating Segments, www.accaglobal.com, 2011</w:t>
      </w:r>
    </w:p>
    <w:p w:rsidR="002D08B0" w:rsidRPr="002D08B0" w:rsidRDefault="002D08B0" w:rsidP="002D08B0">
      <w:pPr>
        <w:spacing w:before="100" w:beforeAutospacing="1" w:after="100" w:afterAutospacing="1"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Pr>
        <w:t> </w:t>
      </w:r>
    </w:p>
    <w:p w:rsidR="002D08B0" w:rsidRPr="002D08B0" w:rsidRDefault="002D08B0" w:rsidP="002D08B0">
      <w:pPr>
        <w:spacing w:before="100" w:beforeAutospacing="1" w:after="100" w:afterAutospacing="1" w:line="240" w:lineRule="auto"/>
        <w:jc w:val="right"/>
        <w:rPr>
          <w:rFonts w:ascii="Times New Roman" w:eastAsia="Times New Roman" w:hAnsi="Times New Roman" w:cs="B Nazanin"/>
          <w:sz w:val="24"/>
          <w:szCs w:val="24"/>
        </w:rPr>
      </w:pPr>
      <w:r w:rsidRPr="002D08B0">
        <w:rPr>
          <w:rFonts w:ascii="Times New Roman" w:eastAsia="Times New Roman" w:hAnsi="Times New Roman" w:cs="B Nazanin"/>
          <w:sz w:val="24"/>
          <w:szCs w:val="24"/>
        </w:rPr>
        <w:t> </w:t>
      </w:r>
    </w:p>
    <w:p w:rsidR="007E3FF1" w:rsidRPr="002D08B0" w:rsidRDefault="007E3FF1" w:rsidP="002D08B0">
      <w:pPr>
        <w:jc w:val="right"/>
        <w:rPr>
          <w:rFonts w:cs="B Nazanin"/>
          <w:sz w:val="24"/>
          <w:szCs w:val="24"/>
        </w:rPr>
      </w:pPr>
    </w:p>
    <w:sectPr w:rsidR="007E3FF1" w:rsidRPr="002D08B0" w:rsidSect="007E3F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F5311"/>
    <w:rsid w:val="00063D50"/>
    <w:rsid w:val="001F5311"/>
    <w:rsid w:val="002A776F"/>
    <w:rsid w:val="002D08B0"/>
    <w:rsid w:val="004A63F2"/>
    <w:rsid w:val="004F1AFA"/>
    <w:rsid w:val="00501B3B"/>
    <w:rsid w:val="0055478B"/>
    <w:rsid w:val="006B003D"/>
    <w:rsid w:val="007E3FF1"/>
    <w:rsid w:val="008A03C1"/>
    <w:rsid w:val="008E53FF"/>
    <w:rsid w:val="009D0B04"/>
    <w:rsid w:val="00A94AC0"/>
    <w:rsid w:val="00C54C4A"/>
    <w:rsid w:val="00FE68F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1F5311"/>
  </w:style>
  <w:style w:type="paragraph" w:styleId="NormalWeb">
    <w:name w:val="Normal (Web)"/>
    <w:basedOn w:val="Normal"/>
    <w:uiPriority w:val="99"/>
    <w:unhideWhenUsed/>
    <w:rsid w:val="001F53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003D"/>
    <w:rPr>
      <w:color w:val="0000FF"/>
      <w:u w:val="single"/>
    </w:rPr>
  </w:style>
  <w:style w:type="paragraph" w:styleId="BalloonText">
    <w:name w:val="Balloon Text"/>
    <w:basedOn w:val="Normal"/>
    <w:link w:val="BalloonTextChar"/>
    <w:uiPriority w:val="99"/>
    <w:semiHidden/>
    <w:unhideWhenUsed/>
    <w:rsid w:val="006B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03D"/>
    <w:rPr>
      <w:rFonts w:ascii="Tahoma" w:hAnsi="Tahoma" w:cs="Tahoma"/>
      <w:sz w:val="16"/>
      <w:szCs w:val="16"/>
    </w:rPr>
  </w:style>
  <w:style w:type="paragraph" w:customStyle="1" w:styleId="paragraphstyle1">
    <w:name w:val="paragraphstyle1"/>
    <w:basedOn w:val="Normal"/>
    <w:rsid w:val="002D08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665739">
      <w:bodyDiv w:val="1"/>
      <w:marLeft w:val="0"/>
      <w:marRight w:val="0"/>
      <w:marTop w:val="0"/>
      <w:marBottom w:val="0"/>
      <w:divBdr>
        <w:top w:val="none" w:sz="0" w:space="0" w:color="auto"/>
        <w:left w:val="none" w:sz="0" w:space="0" w:color="auto"/>
        <w:bottom w:val="none" w:sz="0" w:space="0" w:color="auto"/>
        <w:right w:val="none" w:sz="0" w:space="0" w:color="auto"/>
      </w:divBdr>
    </w:div>
    <w:div w:id="303434735">
      <w:bodyDiv w:val="1"/>
      <w:marLeft w:val="0"/>
      <w:marRight w:val="0"/>
      <w:marTop w:val="0"/>
      <w:marBottom w:val="0"/>
      <w:divBdr>
        <w:top w:val="none" w:sz="0" w:space="0" w:color="auto"/>
        <w:left w:val="none" w:sz="0" w:space="0" w:color="auto"/>
        <w:bottom w:val="none" w:sz="0" w:space="0" w:color="auto"/>
        <w:right w:val="none" w:sz="0" w:space="0" w:color="auto"/>
      </w:divBdr>
    </w:div>
    <w:div w:id="423692152">
      <w:bodyDiv w:val="1"/>
      <w:marLeft w:val="0"/>
      <w:marRight w:val="0"/>
      <w:marTop w:val="0"/>
      <w:marBottom w:val="0"/>
      <w:divBdr>
        <w:top w:val="none" w:sz="0" w:space="0" w:color="auto"/>
        <w:left w:val="none" w:sz="0" w:space="0" w:color="auto"/>
        <w:bottom w:val="none" w:sz="0" w:space="0" w:color="auto"/>
        <w:right w:val="none" w:sz="0" w:space="0" w:color="auto"/>
      </w:divBdr>
    </w:div>
    <w:div w:id="523251429">
      <w:bodyDiv w:val="1"/>
      <w:marLeft w:val="0"/>
      <w:marRight w:val="0"/>
      <w:marTop w:val="0"/>
      <w:marBottom w:val="0"/>
      <w:divBdr>
        <w:top w:val="none" w:sz="0" w:space="0" w:color="auto"/>
        <w:left w:val="none" w:sz="0" w:space="0" w:color="auto"/>
        <w:bottom w:val="none" w:sz="0" w:space="0" w:color="auto"/>
        <w:right w:val="none" w:sz="0" w:space="0" w:color="auto"/>
      </w:divBdr>
    </w:div>
    <w:div w:id="586118006">
      <w:bodyDiv w:val="1"/>
      <w:marLeft w:val="0"/>
      <w:marRight w:val="0"/>
      <w:marTop w:val="0"/>
      <w:marBottom w:val="0"/>
      <w:divBdr>
        <w:top w:val="none" w:sz="0" w:space="0" w:color="auto"/>
        <w:left w:val="none" w:sz="0" w:space="0" w:color="auto"/>
        <w:bottom w:val="none" w:sz="0" w:space="0" w:color="auto"/>
        <w:right w:val="none" w:sz="0" w:space="0" w:color="auto"/>
      </w:divBdr>
    </w:div>
    <w:div w:id="671952803">
      <w:bodyDiv w:val="1"/>
      <w:marLeft w:val="0"/>
      <w:marRight w:val="0"/>
      <w:marTop w:val="0"/>
      <w:marBottom w:val="0"/>
      <w:divBdr>
        <w:top w:val="none" w:sz="0" w:space="0" w:color="auto"/>
        <w:left w:val="none" w:sz="0" w:space="0" w:color="auto"/>
        <w:bottom w:val="none" w:sz="0" w:space="0" w:color="auto"/>
        <w:right w:val="none" w:sz="0" w:space="0" w:color="auto"/>
      </w:divBdr>
    </w:div>
    <w:div w:id="686634741">
      <w:bodyDiv w:val="1"/>
      <w:marLeft w:val="0"/>
      <w:marRight w:val="0"/>
      <w:marTop w:val="0"/>
      <w:marBottom w:val="0"/>
      <w:divBdr>
        <w:top w:val="none" w:sz="0" w:space="0" w:color="auto"/>
        <w:left w:val="none" w:sz="0" w:space="0" w:color="auto"/>
        <w:bottom w:val="none" w:sz="0" w:space="0" w:color="auto"/>
        <w:right w:val="none" w:sz="0" w:space="0" w:color="auto"/>
      </w:divBdr>
    </w:div>
    <w:div w:id="814952269">
      <w:bodyDiv w:val="1"/>
      <w:marLeft w:val="0"/>
      <w:marRight w:val="0"/>
      <w:marTop w:val="0"/>
      <w:marBottom w:val="0"/>
      <w:divBdr>
        <w:top w:val="none" w:sz="0" w:space="0" w:color="auto"/>
        <w:left w:val="none" w:sz="0" w:space="0" w:color="auto"/>
        <w:bottom w:val="none" w:sz="0" w:space="0" w:color="auto"/>
        <w:right w:val="none" w:sz="0" w:space="0" w:color="auto"/>
      </w:divBdr>
    </w:div>
    <w:div w:id="903494393">
      <w:bodyDiv w:val="1"/>
      <w:marLeft w:val="0"/>
      <w:marRight w:val="0"/>
      <w:marTop w:val="0"/>
      <w:marBottom w:val="0"/>
      <w:divBdr>
        <w:top w:val="none" w:sz="0" w:space="0" w:color="auto"/>
        <w:left w:val="none" w:sz="0" w:space="0" w:color="auto"/>
        <w:bottom w:val="none" w:sz="0" w:space="0" w:color="auto"/>
        <w:right w:val="none" w:sz="0" w:space="0" w:color="auto"/>
      </w:divBdr>
    </w:div>
    <w:div w:id="1366981820">
      <w:bodyDiv w:val="1"/>
      <w:marLeft w:val="0"/>
      <w:marRight w:val="0"/>
      <w:marTop w:val="0"/>
      <w:marBottom w:val="0"/>
      <w:divBdr>
        <w:top w:val="none" w:sz="0" w:space="0" w:color="auto"/>
        <w:left w:val="none" w:sz="0" w:space="0" w:color="auto"/>
        <w:bottom w:val="none" w:sz="0" w:space="0" w:color="auto"/>
        <w:right w:val="none" w:sz="0" w:space="0" w:color="auto"/>
      </w:divBdr>
    </w:div>
    <w:div w:id="1395080624">
      <w:bodyDiv w:val="1"/>
      <w:marLeft w:val="0"/>
      <w:marRight w:val="0"/>
      <w:marTop w:val="0"/>
      <w:marBottom w:val="0"/>
      <w:divBdr>
        <w:top w:val="none" w:sz="0" w:space="0" w:color="auto"/>
        <w:left w:val="none" w:sz="0" w:space="0" w:color="auto"/>
        <w:bottom w:val="none" w:sz="0" w:space="0" w:color="auto"/>
        <w:right w:val="none" w:sz="0" w:space="0" w:color="auto"/>
      </w:divBdr>
    </w:div>
    <w:div w:id="1521510859">
      <w:bodyDiv w:val="1"/>
      <w:marLeft w:val="0"/>
      <w:marRight w:val="0"/>
      <w:marTop w:val="0"/>
      <w:marBottom w:val="0"/>
      <w:divBdr>
        <w:top w:val="none" w:sz="0" w:space="0" w:color="auto"/>
        <w:left w:val="none" w:sz="0" w:space="0" w:color="auto"/>
        <w:bottom w:val="none" w:sz="0" w:space="0" w:color="auto"/>
        <w:right w:val="none" w:sz="0" w:space="0" w:color="auto"/>
      </w:divBdr>
    </w:div>
    <w:div w:id="1735740746">
      <w:bodyDiv w:val="1"/>
      <w:marLeft w:val="0"/>
      <w:marRight w:val="0"/>
      <w:marTop w:val="0"/>
      <w:marBottom w:val="0"/>
      <w:divBdr>
        <w:top w:val="none" w:sz="0" w:space="0" w:color="auto"/>
        <w:left w:val="none" w:sz="0" w:space="0" w:color="auto"/>
        <w:bottom w:val="none" w:sz="0" w:space="0" w:color="auto"/>
        <w:right w:val="none" w:sz="0" w:space="0" w:color="auto"/>
      </w:divBdr>
    </w:div>
    <w:div w:id="1778406737">
      <w:bodyDiv w:val="1"/>
      <w:marLeft w:val="0"/>
      <w:marRight w:val="0"/>
      <w:marTop w:val="0"/>
      <w:marBottom w:val="0"/>
      <w:divBdr>
        <w:top w:val="none" w:sz="0" w:space="0" w:color="auto"/>
        <w:left w:val="none" w:sz="0" w:space="0" w:color="auto"/>
        <w:bottom w:val="none" w:sz="0" w:space="0" w:color="auto"/>
        <w:right w:val="none" w:sz="0" w:space="0" w:color="auto"/>
      </w:divBdr>
      <w:divsChild>
        <w:div w:id="273558627">
          <w:marLeft w:val="0"/>
          <w:marRight w:val="0"/>
          <w:marTop w:val="0"/>
          <w:marBottom w:val="0"/>
          <w:divBdr>
            <w:top w:val="none" w:sz="0" w:space="0" w:color="auto"/>
            <w:left w:val="none" w:sz="0" w:space="0" w:color="auto"/>
            <w:bottom w:val="none" w:sz="0" w:space="0" w:color="auto"/>
            <w:right w:val="none" w:sz="0" w:space="0" w:color="auto"/>
          </w:divBdr>
        </w:div>
      </w:divsChild>
    </w:div>
    <w:div w:id="19368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1660</Words>
  <Characters>9462</Characters>
  <Application>Microsoft Office Word</Application>
  <DocSecurity>0</DocSecurity>
  <Lines>78</Lines>
  <Paragraphs>22</Paragraphs>
  <ScaleCrop>false</ScaleCrop>
  <Company>MRT www.Win2Farsi.com</Company>
  <LinksUpToDate>false</LinksUpToDate>
  <CharactersWithSpaces>11100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2011-12-25T12:15:00Z</dcterms:created>
  <dcterms:modified xsi:type="dcterms:W3CDTF">2011-12-25T12:15:00Z</dcterms:modified>
</cp:coreProperties>
</file>