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7E" w:rsidRPr="000A107E" w:rsidRDefault="000A107E" w:rsidP="000A107E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0A107E">
        <w:rPr>
          <w:rFonts w:ascii="B Nazanin" w:eastAsia="Times New Roman" w:hAnsi="B Nazanin" w:cs="B Nazanin"/>
          <w:b/>
          <w:bCs/>
          <w:sz w:val="28"/>
          <w:szCs w:val="28"/>
          <w:rtl/>
        </w:rPr>
        <w:t>نکاتی درباره ترجمه «تاریخ تصوف در هند</w:t>
      </w:r>
    </w:p>
    <w:p w:rsidR="000A107E" w:rsidRPr="000A107E" w:rsidRDefault="000A107E" w:rsidP="000A107E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0A107E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نوشاهی، عارف</w:t>
      </w:r>
    </w:p>
    <w:p w:rsidR="000A107E" w:rsidRPr="000A107E" w:rsidRDefault="000A107E" w:rsidP="000A107E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تاریخ تصوف در هند (جلد اول). تألیف سیّد اطهر عباس رضوی. ترجمه منصور معتمدی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مرکز نشردانشگاهی. تهران 1380. 503 صفحه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سیّد اطهر عباس رضوی (1921 تا 1994)، محقق هندی‏تبار، درباره نهضتهای فکری و وجدانی هندوستان، چندین تحقیق تحسین‏انگیز انجام داده است. چون آثار او با استفاده از منابع دست اول شبه قاره تألیف و تحریر شده، از نظر اصول تحقیق کمتر ایرادی بر آن وارد می‏شود، امّا نتیجه‏گیریهای او لزوما مورد قبول صاحب نظران شبه قاره نیست. کار مشهور او، تاریخ تصوف در هند (2 جلد)، نیز از این‏گونه ردّ و قبول عامه در شبه قاره مستثنی نبود. این کتاب چون یگانه تحقیق روشمندانه در موضوع است، مرجع محققان انگلیسی‏زبان و انگلیسی‏دان است. با توجه به روابط و تعامل و تأثیر دیرینه عرفان ایران و هند در یکدیگر، جای چنین کتابی در زبان فارسی خالی بود؛ خوشبختانه جلد اول آن به همت آقای منصور معتمدی به فارسی ترجمه شده است و به زودی ترجمه جلد دوم آن نیز عرضه خواهد شد. بی‏گمان با تکمیل ترجمه این اثر گرانمایه، فارسی‏زبانان و فارسی‏دانان درکی بهتر از نهضتهای متصوفه شبه قاره خواهند داشت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به سبب علاقه‏ای که از جهت فضیلت علمی به شخص ایشان و همچنین به موضوع کتاب دارم، ترجمه فارسی کتاب او را با شوق و شعف تمام خواندم و درباره آن یادداشتی تهیه کردم که در پی خواهد آمد. اما نخست خاطره‏ای از مؤلف بیان می‏کنم که تاریخ وفات او را هم که جای آن در پیشگفتار مترجم خالی است دربرمی‏گیرد. در 1994 م . در مدت اقامت خود در تهران اطلاع پیدا کردم که دکتر اطهر عباس رضوی در ماه جولای 1994 برای زیارت عتبات از راه تهران به عراق می‏رود و در سفر برگشت چند هفته در ایران می‏ماند. او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lastRenderedPageBreak/>
        <w:t>در روز موعود در ماه ژوئیه وارد تهران شد و یک شب در تهران ماند و فردای آن عازم عراق شد. قرار بود که او پس از زیارت عتبات در عراق، به مشهد برود و از آنجا در تاریخ 14 سپتامبر 1994 به تهران بیاید. چون تاریخ 14 سپتامبر گذشت و دکتر رضوی به تهران نیامد، نگران شدیم. پس از پُرسش و تفحص طولانی خبر تأسف‏انگیر درگذشتِ او را در مشهد شنیدیم. شاگرد پاکستانی او، دکتر محمدسلیم اختر، در آن ایام مقیم تهران بود. او با سفارت استرالیا در تهران تماس گرفت و برای انتقال اثاث‏السفر او به استرالیا ترتیب قانونی داد. دکتر رضوی هندی بود، تبعیت استرالیا داشت و در ایران خرقه تهی کرد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حُسن ترجمه کتاب او در این است که مترجم فاضل و کوشا ترجمه را با نهایت دقّت و امانت انجام داده است و زحمت فراوان کشیده است که نصوص و اشعار و جُملات فارسی را در منابع و مآخذ اصلی که احیانا مؤلف آنها را به انگلیسی ترجمه کرده بود بیاید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کاری چنین دشوار را فقط یک مترجم امانت‏دار و پای‏بند به اصولِ ترجمه بر خود هموار می‏سازد. در این مورد باید از زحمات او سپاسگزار بود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چنانکه مترجم در یادداشت خود متذکر شده، مشکل اصلی ایشان (و سایر مترجمان ایرانی) یافتنِ ضبط درست اصطلاحات و اَعلام و اسامی هندی است. مترجم دقیق و ساعی در راه ضبط صحیح اعلام تلاش بسیار کرده است؛ با وجود این می‏بینیم که در پاره‏ای موارد مشکل به جای خود باقی مانده است یا مترجم به ضبط درست موفق نشده است. همچنین اهمال در غلط‏گیری و نسخه‏پردازی به زحمات مترجم لطمه زده است و در نتیجه غمض بصر نمونه‏خوان بعضی کلمات و عبارات مغشوش و مغلوط چاپ شده است. چون قرار است ترجمه جلد دوم کتاب نیز ارائه شود، عجالتا برخی موارد را متذکر می‏شوم تا مگر برای جلد آتی مفید واقع گردد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متأسفانه خطاهای چاپی درست از صفحه شناسنامه کتاب آغاز می‏شود. کلمه «سیّد» و نام ناشر اصلی (هندی) را باید طبق نصِّ مؤلف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Saiyid</w:t>
      </w:r>
      <w:proofErr w:type="spellEnd"/>
      <w:r w:rsidRPr="000A107E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Munshiram</w:t>
      </w:r>
      <w:proofErr w:type="spellEnd"/>
      <w:r w:rsidRPr="000A107E">
        <w:rPr>
          <w:rFonts w:ascii="B Nazanin" w:eastAsia="Times New Roman" w:hAnsi="B Nazanin" w:cs="B Nazanin"/>
          <w:sz w:val="28"/>
          <w:szCs w:val="28"/>
        </w:rPr>
        <w:t xml:space="preserve"> (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مُنشی‏رام) نوشت که در هر دو مورد خطا شده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صفحه/ سطر خطا صواب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lastRenderedPageBreak/>
        <w:t>هفت/ 14</w:t>
      </w:r>
      <w:r w:rsidRPr="000A107E">
        <w:rPr>
          <w:rFonts w:ascii="B Nazanin" w:eastAsia="Times New Roman" w:hAnsi="B Nazanin" w:cs="B Nazanin"/>
          <w:sz w:val="28"/>
          <w:szCs w:val="28"/>
        </w:rPr>
        <w:t>: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LucknowLocknow</w:t>
      </w:r>
      <w:proofErr w:type="spell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t>هشت/ 2</w:t>
      </w:r>
      <w:r w:rsidRPr="000A107E">
        <w:rPr>
          <w:rFonts w:ascii="B Nazanin" w:eastAsia="Times New Roman" w:hAnsi="B Nazanin" w:cs="B Nazanin"/>
          <w:sz w:val="28"/>
          <w:szCs w:val="28"/>
        </w:rPr>
        <w:t>: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canberraconberra</w:t>
      </w:r>
      <w:proofErr w:type="spell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5/ 11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سنجریسجزی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5/ 13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کاکلیکاکی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8/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RizviRivui</w:t>
      </w:r>
      <w:proofErr w:type="spellEnd"/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10/ 21: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مُنیریمَنَیْری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11/ 10: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فریدالدینشرف‏الدین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15/ 25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عبارت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«اخبارالاصفیاء شیخ عبدالحق نوشته شده است» مغشوش است و صحیح چنین است: و در 1015/ 7ـ1606 اخبارالاصفیاء را به روشِ اخبارالاخیار شیخ عبدالحق نوشت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16/ 9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موسی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شکاریموسی شطاری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17/ 17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عبدالحق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رودکیعبدالحق رودولی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139/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:مدرسمدراس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141/ 13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تا 19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:در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این سطور نام «پتهورا» (تقدیم «پ» بر «ت») هشت بار «تپهورا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آمده است. درست همان پتهورا است که در صفحه 142، سطر 3، چاپ شده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145/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سطر آخر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:ابولنجیبابوالنجیب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lastRenderedPageBreak/>
        <w:t>149/ 8: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اِجپوتراجپوت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151/ 9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نوغ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سالنود سال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153/ 7: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سِکریسیکری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154/ 22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در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این سطر ضبط جیتل (با تقدیم «ج» بر «ی») دو گونه آمده است. جیتل درست است و جتیل خطا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162/ 4: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قَباچه [یا قَباچه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]؛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ضبط اول را باید با ضمه (قُباچه) می‏نوشت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168/ 12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قسورقصور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168/ 13: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مَهَرانمهاران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170/ 20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سکوک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روحانیسلوک روحانی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171/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5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:محل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توضیحی که مترجم اضافه کرده باید در صفحه 172 باشد زیرا کلمه </w:t>
      </w:r>
      <w:r w:rsidRPr="000A107E">
        <w:rPr>
          <w:rFonts w:ascii="B Nazanin" w:eastAsia="Times New Roman" w:hAnsi="B Nazanin" w:cs="B Nazanin"/>
          <w:sz w:val="28"/>
          <w:szCs w:val="28"/>
        </w:rPr>
        <w:t>«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چپر» در صفحه 172 آمده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182/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:سریدالدینسدیدالدین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186/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4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:قفر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و فاقهفقر و فاقه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190/ 4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شعر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مغشوش حروف‏چینی شده. کلمه «برو» باید به آخر مصراع اول بچسبد: نه همرهی تو مرا راه خویش گیر و برو/ ترا... الخ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lastRenderedPageBreak/>
        <w:t>210/ 20: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اهل‏بیت [= بیعت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]؛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آنچه مترجم در کروشه آورده حشو است، زیرا در مأخذ مؤلف که اخبارالاخیار بوده همان «اهل‏بیعت» آمده است. مترجم اول آن را اهل‏بیت ترجمه کرده و سپس اصلاح فرموده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213/ 25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جمنهجمنا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227/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3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:مترجم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در تمییز دو کلمه متحداللفظ و مختلف‏المعانیِ «نفس» کلاً در املا دچار خطا شده است و باید چنین می‏نوشت: نَفْس با نَفَس که دم و... خود شیخ نَفَس را به دم... عمدا این واژه را نَفْس خوانده</w:t>
      </w:r>
      <w:r w:rsidRPr="000A107E">
        <w:rPr>
          <w:rFonts w:ascii="B Nazanin" w:eastAsia="Times New Roman" w:hAnsi="B Nazanin" w:cs="B Nazanin"/>
          <w:sz w:val="28"/>
          <w:szCs w:val="28"/>
        </w:rPr>
        <w:t>...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239/ 23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فواردوارد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242/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2:مترجم «رضایی» را قسمی پوشش که بر سر می‏اندازند معنی کرده است، حال آنکه «رضایی» در واقع «لحاف»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250/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سطر آخر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:هفت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سؤالهفت سال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252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ـ250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:مترجم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برای اصل عبارت که متعلق به گلشن راز بوده، از شرح گلشن راز استفاده کرده و در حاشیه توضیح داده است که میان مأخذ مؤلف و منبع مورد استفاده مترجم اختلافاتی وجود دارد. پس بهتر آن بود که مترجم روایت مؤلف عبارت را اختیار کند نه شرح آن را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264/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1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:بوسید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زمینبوسیدنِ زمین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275/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NasiriNasivi</w:t>
      </w:r>
      <w:proofErr w:type="spellEnd"/>
      <w:proofErr w:type="gramEnd"/>
      <w:r w:rsidRPr="000A107E">
        <w:rPr>
          <w:rFonts w:ascii="B Nazanin" w:eastAsia="Times New Roman" w:hAnsi="B Nazanin" w:cs="B Nazanin"/>
          <w:sz w:val="28"/>
          <w:szCs w:val="28"/>
        </w:rPr>
        <w:t xml:space="preserve"> (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ناصری</w:t>
      </w:r>
      <w:r w:rsidRPr="000A107E">
        <w:rPr>
          <w:rFonts w:ascii="B Nazanin" w:eastAsia="Times New Roman" w:hAnsi="B Nazanin" w:cs="B Nazanin"/>
          <w:sz w:val="28"/>
          <w:szCs w:val="28"/>
        </w:rPr>
        <w:t>)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276/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4:مَنر یا مُنِرمَنیرْ یا مُنیرْ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  <w:rtl/>
        </w:rPr>
        <w:lastRenderedPageBreak/>
        <w:t>مترجم اضافه می‏کند: «اما وزن شرف‏نامه احمد منیری زمانی درست می‏آید که آخرین واژه بیت را مُنیرَی یا مَنْیرَی بخوانیم.» بهتر بود مترجم شرف‏نامه احمد منیری را داخل گیومه بیاورد تا معلوم شود که این مصراع است و دراین مصراع باید مَنْیری خواند و نه مَنَیرْ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332/ 11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لکهنو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باید نوشت و نه لکنهو. هرچند آوانویسی لاتینی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Lucknow</w:t>
      </w:r>
      <w:proofErr w:type="spellEnd"/>
      <w:r w:rsidRPr="000A107E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347/ 17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جشن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هُلیجشن هولی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347/ 18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آوازخانانآوازخوانان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352/ 22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جیلسمیرجیسلمیر</w:t>
      </w:r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353/ 1:«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وی در 976 یا سال بعد وفات کرد... و با عباراتی مانند مرده‏ای خوک کلان مادّه تاریخ برایش ساختند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.»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از این مادّه که اصلش را مترجم پیدا کرده و نوشته است، رقم 987 به دست می‏آید که با 976 منافات دارد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389/ 9:«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چوتِ درگاه» را باید «چهوتا درگاه» نوشت، زیرا در اردو «چهوتا» به معنی کوچک است؛ و همچنین در سطر بعد «بارِ درگاه» را باید «برا درگاه» نوشت که «بَرا» به معنی بزرگ 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404/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proofErr w:type="spellStart"/>
      <w:r w:rsidRPr="000A107E">
        <w:rPr>
          <w:rFonts w:ascii="B Nazanin" w:eastAsia="Times New Roman" w:hAnsi="B Nazanin" w:cs="B Nazanin"/>
          <w:sz w:val="28"/>
          <w:szCs w:val="28"/>
        </w:rPr>
        <w:t>ShaikhShakh</w:t>
      </w:r>
      <w:proofErr w:type="spellEnd"/>
      <w:proofErr w:type="gramEnd"/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 xml:space="preserve">412/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پاورقی 3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:امرتیه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کوندهامرت کهند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452/ 21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ـ20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  <w:rtl/>
        </w:rPr>
        <w:t>:اکهروت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[اخروت]؛ اکهروت درست است و ضبط مترجم در کروشه زاید و خطاست</w:t>
      </w:r>
      <w:r w:rsidRPr="000A107E">
        <w:rPr>
          <w:rFonts w:ascii="B Nazanin" w:eastAsia="Times New Roman" w:hAnsi="B Nazanin" w:cs="B Nazanin"/>
          <w:sz w:val="28"/>
          <w:szCs w:val="28"/>
        </w:rPr>
        <w:t>.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452/ 22: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هُلی‏نامههولی‏نامه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lastRenderedPageBreak/>
        <w:t>453/ 12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مترجم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بیت را از روی ترجمه انگلیسی به فارسی برگردانده است. اصل مصراع موزون بدین‏گونه است: من تو شدم، تو من شدی، من تن شدم، تو جان شدی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469/ 11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سلطنت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لوریان سلطنت لودیان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470/ 18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کریمه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کریما (کریما ببخشای بر حالِ ما</w:t>
      </w:r>
      <w:r w:rsidRPr="000A107E">
        <w:rPr>
          <w:rFonts w:ascii="B Nazanin" w:eastAsia="Times New Roman" w:hAnsi="B Nazanin" w:cs="B Nazanin"/>
          <w:sz w:val="28"/>
          <w:szCs w:val="28"/>
        </w:rPr>
        <w:t>)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485/ 16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جامی</w:t>
      </w:r>
      <w:proofErr w:type="gramEnd"/>
      <w:r w:rsidRPr="000A107E">
        <w:rPr>
          <w:rFonts w:ascii="B Nazanin" w:eastAsia="Times New Roman" w:hAnsi="B Nazanin" w:cs="B Nazanin"/>
          <w:sz w:val="28"/>
          <w:szCs w:val="28"/>
          <w:rtl/>
        </w:rPr>
        <w:t xml:space="preserve"> آن را «قرآن عجم» خوانده است؛ بهتر بود که مترجم «قرآنِ پهلوی</w:t>
      </w:r>
      <w:r w:rsidRPr="000A107E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بنویسد زیرا بیت جامی این است: مثنویِ مولویِ معنوی/ هست قرآن در زبانِ پهلوی</w:t>
      </w:r>
    </w:p>
    <w:p w:rsidR="000A107E" w:rsidRPr="000A107E" w:rsidRDefault="000A107E" w:rsidP="000A107E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A107E">
        <w:rPr>
          <w:rFonts w:ascii="B Nazanin" w:eastAsia="Times New Roman" w:hAnsi="B Nazanin" w:cs="B Nazanin"/>
          <w:sz w:val="28"/>
          <w:szCs w:val="28"/>
        </w:rPr>
        <w:t>496/ 7</w:t>
      </w:r>
      <w:proofErr w:type="gramStart"/>
      <w:r w:rsidRPr="000A107E">
        <w:rPr>
          <w:rFonts w:ascii="B Nazanin" w:eastAsia="Times New Roman" w:hAnsi="B Nazanin" w:cs="B Nazanin"/>
          <w:sz w:val="28"/>
          <w:szCs w:val="28"/>
        </w:rPr>
        <w:t>:</w:t>
      </w:r>
      <w:r w:rsidRPr="000A107E">
        <w:rPr>
          <w:rFonts w:ascii="B Nazanin" w:eastAsia="Times New Roman" w:hAnsi="B Nazanin" w:cs="B Nazanin"/>
          <w:sz w:val="28"/>
          <w:szCs w:val="28"/>
          <w:rtl/>
        </w:rPr>
        <w:t>میروتمیرته</w:t>
      </w:r>
      <w:proofErr w:type="gramEnd"/>
    </w:p>
    <w:p w:rsidR="00E94446" w:rsidRPr="000A107E" w:rsidRDefault="00E94446" w:rsidP="000A107E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0A107E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07E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107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07E"/>
    <w:rPr>
      <w:color w:val="0000FF"/>
      <w:u w:val="single"/>
    </w:rPr>
  </w:style>
  <w:style w:type="character" w:customStyle="1" w:styleId="pagecount">
    <w:name w:val="pagecount"/>
    <w:basedOn w:val="DefaultParagraphFont"/>
    <w:rsid w:val="000A107E"/>
  </w:style>
  <w:style w:type="character" w:customStyle="1" w:styleId="pageno">
    <w:name w:val="pageno"/>
    <w:basedOn w:val="DefaultParagraphFont"/>
    <w:rsid w:val="000A107E"/>
  </w:style>
  <w:style w:type="character" w:customStyle="1" w:styleId="magsimg">
    <w:name w:val="magsimg"/>
    <w:basedOn w:val="DefaultParagraphFont"/>
    <w:rsid w:val="000A107E"/>
  </w:style>
  <w:style w:type="paragraph" w:styleId="NormalWeb">
    <w:name w:val="Normal (Web)"/>
    <w:basedOn w:val="Normal"/>
    <w:uiPriority w:val="99"/>
    <w:semiHidden/>
    <w:unhideWhenUsed/>
    <w:rsid w:val="000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982</Words>
  <Characters>5602</Characters>
  <Application>Microsoft Office Word</Application>
  <DocSecurity>0</DocSecurity>
  <Lines>46</Lines>
  <Paragraphs>13</Paragraphs>
  <ScaleCrop>false</ScaleCrop>
  <Company>MRT www.Win2Farsi.com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2010-07-15T13:58:00Z</dcterms:created>
  <dcterms:modified xsi:type="dcterms:W3CDTF">2010-07-15T13:59:00Z</dcterms:modified>
</cp:coreProperties>
</file>