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2F8" w:rsidRPr="004072F8" w:rsidRDefault="004072F8" w:rsidP="004072F8">
      <w:pPr>
        <w:bidi/>
        <w:spacing w:after="0" w:line="360" w:lineRule="auto"/>
        <w:jc w:val="lowKashida"/>
        <w:rPr>
          <w:rFonts w:ascii="B Nazanin" w:eastAsia="Times New Roman" w:hAnsi="B Nazanin" w:cs="B Nazanin"/>
          <w:b/>
          <w:bCs/>
          <w:sz w:val="28"/>
          <w:szCs w:val="28"/>
        </w:rPr>
      </w:pPr>
      <w:r w:rsidRPr="004072F8">
        <w:rPr>
          <w:rFonts w:ascii="B Nazanin" w:eastAsia="Times New Roman" w:hAnsi="B Nazanin" w:cs="B Nazanin"/>
          <w:b/>
          <w:bCs/>
          <w:sz w:val="28"/>
          <w:szCs w:val="28"/>
          <w:rtl/>
        </w:rPr>
        <w:t xml:space="preserve">پژوهشی در تعزیه خوانی </w:t>
      </w:r>
    </w:p>
    <w:p w:rsidR="004072F8" w:rsidRPr="004072F8" w:rsidRDefault="004072F8" w:rsidP="004072F8">
      <w:pPr>
        <w:bidi/>
        <w:spacing w:after="0" w:line="360" w:lineRule="auto"/>
        <w:jc w:val="lowKashida"/>
        <w:rPr>
          <w:rFonts w:ascii="B Nazanin" w:eastAsia="Times New Roman" w:hAnsi="B Nazanin" w:cs="B Nazanin"/>
          <w:b/>
          <w:bCs/>
          <w:sz w:val="28"/>
          <w:szCs w:val="28"/>
        </w:rPr>
      </w:pPr>
      <w:r w:rsidRPr="004072F8">
        <w:rPr>
          <w:rFonts w:ascii="B Nazanin" w:eastAsia="Times New Roman" w:hAnsi="B Nazanin" w:cs="B Nazanin"/>
          <w:b/>
          <w:bCs/>
          <w:sz w:val="28"/>
          <w:szCs w:val="28"/>
          <w:rtl/>
        </w:rPr>
        <w:t>نویسنده : آل داود، سید علی</w:t>
      </w:r>
    </w:p>
    <w:p w:rsidR="004072F8" w:rsidRPr="004072F8" w:rsidRDefault="004072F8" w:rsidP="004072F8">
      <w:pPr>
        <w:bidi/>
        <w:spacing w:after="0" w:line="360" w:lineRule="auto"/>
        <w:jc w:val="lowKashida"/>
        <w:rPr>
          <w:rFonts w:ascii="B Nazanin" w:eastAsia="Times New Roman" w:hAnsi="B Nazanin" w:cs="B Nazanin"/>
          <w:b/>
          <w:bCs/>
          <w:sz w:val="28"/>
          <w:szCs w:val="28"/>
        </w:rPr>
      </w:pPr>
    </w:p>
    <w:p w:rsidR="004072F8" w:rsidRPr="004072F8" w:rsidRDefault="004072F8" w:rsidP="004072F8">
      <w:pPr>
        <w:bidi/>
        <w:spacing w:before="100" w:beforeAutospacing="1" w:after="100" w:afterAutospacing="1" w:line="360" w:lineRule="auto"/>
        <w:jc w:val="lowKashida"/>
        <w:rPr>
          <w:rFonts w:ascii="B Nazanin" w:eastAsia="Times New Roman" w:hAnsi="B Nazanin" w:cs="B Nazanin"/>
          <w:sz w:val="28"/>
          <w:szCs w:val="28"/>
        </w:rPr>
      </w:pPr>
      <w:r w:rsidRPr="004072F8">
        <w:rPr>
          <w:rFonts w:ascii="B Nazanin" w:eastAsia="Times New Roman" w:hAnsi="B Nazanin" w:cs="B Nazanin"/>
          <w:sz w:val="28"/>
          <w:szCs w:val="28"/>
          <w:rtl/>
        </w:rPr>
        <w:t>پژوهشی در تعزیه و تعزیه‏خوانی از آغاز تا پایان دوره قاجار در تهران. نوشته عنایت‏اللّه‏ شهیدی. با ویرایش و همکاری دکتر علی بلوکباشی. دفتر پژوهشهای فرهنگی</w:t>
      </w:r>
      <w:r w:rsidRPr="004072F8">
        <w:rPr>
          <w:rFonts w:ascii="B Nazanin" w:eastAsia="Times New Roman" w:hAnsi="B Nazanin" w:cs="B Nazanin"/>
          <w:sz w:val="28"/>
          <w:szCs w:val="28"/>
        </w:rPr>
        <w:t xml:space="preserve">. </w:t>
      </w:r>
      <w:r w:rsidRPr="004072F8">
        <w:rPr>
          <w:rFonts w:ascii="B Nazanin" w:eastAsia="Times New Roman" w:hAnsi="B Nazanin" w:cs="B Nazanin"/>
          <w:sz w:val="28"/>
          <w:szCs w:val="28"/>
          <w:rtl/>
        </w:rPr>
        <w:t>تهران 1380</w:t>
      </w:r>
      <w:r w:rsidRPr="004072F8">
        <w:rPr>
          <w:rFonts w:ascii="B Nazanin" w:eastAsia="Times New Roman" w:hAnsi="B Nazanin" w:cs="B Nazanin"/>
          <w:sz w:val="28"/>
          <w:szCs w:val="28"/>
        </w:rPr>
        <w:t>.</w:t>
      </w:r>
    </w:p>
    <w:p w:rsidR="004072F8" w:rsidRPr="004072F8" w:rsidRDefault="004072F8" w:rsidP="004072F8">
      <w:pPr>
        <w:bidi/>
        <w:spacing w:before="100" w:beforeAutospacing="1" w:after="100" w:afterAutospacing="1" w:line="360" w:lineRule="auto"/>
        <w:jc w:val="lowKashida"/>
        <w:rPr>
          <w:rFonts w:ascii="B Nazanin" w:eastAsia="Times New Roman" w:hAnsi="B Nazanin" w:cs="B Nazanin"/>
          <w:sz w:val="28"/>
          <w:szCs w:val="28"/>
        </w:rPr>
      </w:pPr>
      <w:r w:rsidRPr="004072F8">
        <w:rPr>
          <w:rFonts w:ascii="B Nazanin" w:eastAsia="Times New Roman" w:hAnsi="B Nazanin" w:cs="B Nazanin"/>
          <w:sz w:val="28"/>
          <w:szCs w:val="28"/>
          <w:rtl/>
        </w:rPr>
        <w:t>این کتاب تحقیقی و پژوهشی، اثر مشترک آقای عنایت‏اللّه‏ شهیدی، نویسنده کوشا و علاقمند، و دکتر علی بلوکباشی متخصص مردم‏شناسی است و نتیجه سالیان متمادی تحقیق و جستجو در زمینه تعزیه است. تاکنون پژوهشی به این وسعت و گستردگی در باب موضوع مذکور صورت نگرفته، گو آنکه صادق همایونی از سالها پیش در این باره تحقیق کرده و یکی دو کتاب منتشر کرده و همچنین یکی دو تن از ایران‏شناسان تعزیه را با نگاهی نو بررسی کرده‏اند. اما در مجموع، حاصل این تحقیقات خواننده علاقمند و کنجکاو را بی‏نیاز نمی‏سازد</w:t>
      </w:r>
      <w:r w:rsidRPr="004072F8">
        <w:rPr>
          <w:rFonts w:ascii="B Nazanin" w:eastAsia="Times New Roman" w:hAnsi="B Nazanin" w:cs="B Nazanin"/>
          <w:sz w:val="28"/>
          <w:szCs w:val="28"/>
        </w:rPr>
        <w:t>.</w:t>
      </w:r>
    </w:p>
    <w:p w:rsidR="004072F8" w:rsidRPr="004072F8" w:rsidRDefault="004072F8" w:rsidP="004072F8">
      <w:pPr>
        <w:bidi/>
        <w:spacing w:before="100" w:beforeAutospacing="1" w:after="100" w:afterAutospacing="1" w:line="360" w:lineRule="auto"/>
        <w:jc w:val="lowKashida"/>
        <w:rPr>
          <w:rFonts w:ascii="B Nazanin" w:eastAsia="Times New Roman" w:hAnsi="B Nazanin" w:cs="B Nazanin"/>
          <w:sz w:val="28"/>
          <w:szCs w:val="28"/>
        </w:rPr>
      </w:pPr>
      <w:r w:rsidRPr="004072F8">
        <w:rPr>
          <w:rFonts w:ascii="B Nazanin" w:eastAsia="Times New Roman" w:hAnsi="B Nazanin" w:cs="B Nazanin"/>
          <w:sz w:val="28"/>
          <w:szCs w:val="28"/>
          <w:rtl/>
        </w:rPr>
        <w:t>طرح این تحقیق از بخش مردم‏شناسی دفتر پژوهشهای فرهنگی است و انجام آن بر عهده آقای شهیدی نهاده شده و او با صرف وقت در طی سالیان موفق به تکمیل اطلاعات و دستاوردهای خود گردیده و پس از گردآوری و نگارش مطالب، دکتر بلوکباشی به ترتیبی که در مقدمه این اثر بیان شده، به ویرایش آن پرداخته و در واقع همه این کتاب مفصل با نظارت ایشان فراهم آمده و ویرایش شده است</w:t>
      </w:r>
      <w:r w:rsidRPr="004072F8">
        <w:rPr>
          <w:rFonts w:ascii="B Nazanin" w:eastAsia="Times New Roman" w:hAnsi="B Nazanin" w:cs="B Nazanin"/>
          <w:sz w:val="28"/>
          <w:szCs w:val="28"/>
        </w:rPr>
        <w:t>.</w:t>
      </w:r>
    </w:p>
    <w:p w:rsidR="004072F8" w:rsidRPr="004072F8" w:rsidRDefault="004072F8" w:rsidP="004072F8">
      <w:pPr>
        <w:bidi/>
        <w:spacing w:before="100" w:beforeAutospacing="1" w:after="100" w:afterAutospacing="1" w:line="360" w:lineRule="auto"/>
        <w:jc w:val="lowKashida"/>
        <w:rPr>
          <w:rFonts w:ascii="B Nazanin" w:eastAsia="Times New Roman" w:hAnsi="B Nazanin" w:cs="B Nazanin"/>
          <w:sz w:val="28"/>
          <w:szCs w:val="28"/>
        </w:rPr>
      </w:pPr>
      <w:r w:rsidRPr="004072F8">
        <w:rPr>
          <w:rFonts w:ascii="B Nazanin" w:eastAsia="Times New Roman" w:hAnsi="B Nazanin" w:cs="B Nazanin"/>
          <w:sz w:val="28"/>
          <w:szCs w:val="28"/>
          <w:rtl/>
        </w:rPr>
        <w:t>نام کتاب کاملاً گویا نیست و معلوم نمی‏شود که منظور نویسنده بررسی تعزیه از آغاز پیدایش آن یا از ابتدای تأسیس سلسله قاجاریه است. اگر شقّ اول مورد نظر است، فصل مربوط به قبل از قاجار نسبت به حجم کتاب اندک است، گو آنکه باید اعتراف کرد که منابع این دوران بسیار ناچیز است</w:t>
      </w:r>
      <w:r w:rsidRPr="004072F8">
        <w:rPr>
          <w:rFonts w:ascii="B Nazanin" w:eastAsia="Times New Roman" w:hAnsi="B Nazanin" w:cs="B Nazanin"/>
          <w:sz w:val="28"/>
          <w:szCs w:val="28"/>
        </w:rPr>
        <w:t>.</w:t>
      </w:r>
    </w:p>
    <w:p w:rsidR="004072F8" w:rsidRPr="004072F8" w:rsidRDefault="004072F8" w:rsidP="004072F8">
      <w:pPr>
        <w:bidi/>
        <w:spacing w:before="100" w:beforeAutospacing="1" w:after="100" w:afterAutospacing="1" w:line="360" w:lineRule="auto"/>
        <w:jc w:val="lowKashida"/>
        <w:rPr>
          <w:rFonts w:ascii="B Nazanin" w:eastAsia="Times New Roman" w:hAnsi="B Nazanin" w:cs="B Nazanin"/>
          <w:sz w:val="28"/>
          <w:szCs w:val="28"/>
        </w:rPr>
      </w:pPr>
      <w:r w:rsidRPr="004072F8">
        <w:rPr>
          <w:rFonts w:ascii="B Nazanin" w:eastAsia="Times New Roman" w:hAnsi="B Nazanin" w:cs="B Nazanin"/>
          <w:sz w:val="28"/>
          <w:szCs w:val="28"/>
          <w:rtl/>
        </w:rPr>
        <w:lastRenderedPageBreak/>
        <w:t>کتاب با مقدمّه مفصل دکتر بلوکباشی آغاز می‏گردد. در این مقدمه ـ که خود کتابچه کاملی در باب تعزیه و بررسی این آئین مذهبی است و ارزش دارد جداگانه به چاپ برسد ـ از مباحث زیر سخن رفته است: خاستگاه و زمان پیدایی تعزیه‏خوانی؛ تعزیه، رفتاری آیینی؛ تعزیه، تکرار تاریخ در اسطوره؛ صورتهای ادبی و نمایشی تعزیه؛ تعزیه‏خوانی یک بازی نمایشی مقدس؛ تعزیه‏خوانی، صورتی از نمایشهای آیینی؛ ویژگیهای تعزیه؛ نقش و کارکرد تعزیه‏خوانی؛ جاذبه و پذیرندگی تعزیه؛ ناسازگاری تعزیه‏خوانی با ساختار اجتماعی و فرهنگی جامعه کنونی؛ دگرگونی در عاملهای نگهدارنده تعزیه؛ جایگزین‏سازی</w:t>
      </w:r>
      <w:r w:rsidRPr="004072F8">
        <w:rPr>
          <w:rFonts w:ascii="B Nazanin" w:eastAsia="Times New Roman" w:hAnsi="B Nazanin" w:cs="B Nazanin"/>
          <w:sz w:val="28"/>
          <w:szCs w:val="28"/>
        </w:rPr>
        <w:t xml:space="preserve">. </w:t>
      </w:r>
      <w:r w:rsidRPr="004072F8">
        <w:rPr>
          <w:rFonts w:ascii="B Nazanin" w:eastAsia="Times New Roman" w:hAnsi="B Nazanin" w:cs="B Nazanin"/>
          <w:sz w:val="28"/>
          <w:szCs w:val="28"/>
          <w:rtl/>
        </w:rPr>
        <w:t>برخی از عناوین فصول کتاب که در ده بخش است به شرح زیر است: تعزیه‏خوانی در دوره پیش از قاجار؛ تعزیه‏خوانی در دوره قاجار؛ تعزیه‏خوانهای تهران؛ اقسام تعزیه؛ اجراکنندگان تعزیه؛ موسیقی تعزیه؛ زبان و ادبیات تعزیه و</w:t>
      </w:r>
      <w:r w:rsidRPr="004072F8">
        <w:rPr>
          <w:rFonts w:ascii="B Nazanin" w:eastAsia="Times New Roman" w:hAnsi="B Nazanin" w:cs="B Nazanin"/>
          <w:sz w:val="28"/>
          <w:szCs w:val="28"/>
        </w:rPr>
        <w:t>... .</w:t>
      </w:r>
    </w:p>
    <w:p w:rsidR="004072F8" w:rsidRPr="004072F8" w:rsidRDefault="004072F8" w:rsidP="004072F8">
      <w:pPr>
        <w:bidi/>
        <w:spacing w:before="100" w:beforeAutospacing="1" w:after="100" w:afterAutospacing="1" w:line="360" w:lineRule="auto"/>
        <w:jc w:val="lowKashida"/>
        <w:rPr>
          <w:rFonts w:ascii="B Nazanin" w:eastAsia="Times New Roman" w:hAnsi="B Nazanin" w:cs="B Nazanin"/>
          <w:sz w:val="28"/>
          <w:szCs w:val="28"/>
        </w:rPr>
      </w:pPr>
      <w:r w:rsidRPr="004072F8">
        <w:rPr>
          <w:rFonts w:ascii="B Nazanin" w:eastAsia="Times New Roman" w:hAnsi="B Nazanin" w:cs="B Nazanin"/>
          <w:sz w:val="28"/>
          <w:szCs w:val="28"/>
          <w:rtl/>
        </w:rPr>
        <w:t>مندرجات مقدمه و متن این کتاب، مملو از اطلاعات و تحلیلهای مهم و دست اوّل است</w:t>
      </w:r>
      <w:r w:rsidRPr="004072F8">
        <w:rPr>
          <w:rFonts w:ascii="B Nazanin" w:eastAsia="Times New Roman" w:hAnsi="B Nazanin" w:cs="B Nazanin"/>
          <w:sz w:val="28"/>
          <w:szCs w:val="28"/>
        </w:rPr>
        <w:t xml:space="preserve">. </w:t>
      </w:r>
      <w:r w:rsidRPr="004072F8">
        <w:rPr>
          <w:rFonts w:ascii="B Nazanin" w:eastAsia="Times New Roman" w:hAnsi="B Nazanin" w:cs="B Nazanin"/>
          <w:sz w:val="28"/>
          <w:szCs w:val="28"/>
          <w:rtl/>
        </w:rPr>
        <w:t>نویسنده و ویراستار هرچند بنای اصلی تحقیق خود را بر مطالعات و پژوهشهای میدانی و گردآوری مطلب از افراد مطلع نهاده‏اند، لیکن در کتب و منابع خطی و چاپی تعزیه که اکثرا متفرق و در گوشه و کنار پراکنده است نیز به تفحص و جستجو پرداخته و حتی‏المقدور اطلاعاتی ارزنده از میان آنها استخراج کرده‏اند. متأسفانه بخش زیادی از نسخه‏های تعزیه، اعم از خطی و چاپی، در کتابخانه‏های عمومی و مهم کشور نگهداری نمی‏شود. از قدیم آنها را قابل ضبط و ثبت ندانسته‏اند. از این‏رو دسترسی به نسخ و بیاضهای تعزیه زحمتی کمتر از تحقیقات میدانی و گردآوری اطلاعات شفاهی ندارد. از این بابت زحمات مداوم نویسنده ارجمند را باید ارج نهاد، زیرا بسیاری از این منابع در سالهای آتی از میان خواهد رفت. برخی از این تعزیه‏ها هنوز هم به صورت مکتوب وجود ندارد و سینه تعزیه‏خوانان کهنسال و علاقمند حافظ آنهاست. با زوال این گروه، تردید نیست که بخشی از فرهنگ تعزیه از میان خواهد رفت و فرصت بررسی همه‏جانبه و مردم‏شناسانه این آئین مردمی و مذهبی را منتفی خواهد کرد</w:t>
      </w:r>
      <w:r w:rsidRPr="004072F8">
        <w:rPr>
          <w:rFonts w:ascii="B Nazanin" w:eastAsia="Times New Roman" w:hAnsi="B Nazanin" w:cs="B Nazanin"/>
          <w:sz w:val="28"/>
          <w:szCs w:val="28"/>
        </w:rPr>
        <w:t>.</w:t>
      </w:r>
    </w:p>
    <w:p w:rsidR="004072F8" w:rsidRPr="004072F8" w:rsidRDefault="004072F8" w:rsidP="004072F8">
      <w:pPr>
        <w:bidi/>
        <w:spacing w:before="100" w:beforeAutospacing="1" w:after="100" w:afterAutospacing="1" w:line="360" w:lineRule="auto"/>
        <w:jc w:val="lowKashida"/>
        <w:rPr>
          <w:rFonts w:ascii="B Nazanin" w:eastAsia="Times New Roman" w:hAnsi="B Nazanin" w:cs="B Nazanin"/>
          <w:sz w:val="28"/>
          <w:szCs w:val="28"/>
        </w:rPr>
      </w:pPr>
      <w:r w:rsidRPr="004072F8">
        <w:rPr>
          <w:rFonts w:ascii="B Nazanin" w:eastAsia="Times New Roman" w:hAnsi="B Nazanin" w:cs="B Nazanin"/>
          <w:sz w:val="28"/>
          <w:szCs w:val="28"/>
          <w:rtl/>
        </w:rPr>
        <w:t xml:space="preserve">حوزه کتاب با همه تفصیلی که دارد مخصوص تهران است، کاش «دفتر پژوهشهای فرهنگی» و خاصه بخش مردم‏شناسی آن همّت کند و از جوانان فاضل و پژوهشگر شهرستانی دعوت نماید که هریک در منطقه </w:t>
      </w:r>
      <w:r w:rsidRPr="004072F8">
        <w:rPr>
          <w:rFonts w:ascii="B Nazanin" w:eastAsia="Times New Roman" w:hAnsi="B Nazanin" w:cs="B Nazanin"/>
          <w:sz w:val="28"/>
          <w:szCs w:val="28"/>
          <w:rtl/>
        </w:rPr>
        <w:lastRenderedPageBreak/>
        <w:t>جغرافیایی خود این پژوهش را با توجه به نمونه‏ها و الگوهایی که در اختیار آنان قرار می‏گیرد دنبال کنند، والاّ اطلاعات مربوط به تعزیه همانند گویشهای محلی ـ که گردآوری و تنظیم آن بانی مشخصی ندارد یا بانی رغبتی به آن نشان نمی‏دهد ـ در معرض نیستی و زوال خواهد افتاد</w:t>
      </w:r>
      <w:r w:rsidRPr="004072F8">
        <w:rPr>
          <w:rFonts w:ascii="B Nazanin" w:eastAsia="Times New Roman" w:hAnsi="B Nazanin" w:cs="B Nazanin"/>
          <w:sz w:val="28"/>
          <w:szCs w:val="28"/>
        </w:rPr>
        <w:t>.</w:t>
      </w:r>
    </w:p>
    <w:p w:rsidR="004072F8" w:rsidRPr="004072F8" w:rsidRDefault="004072F8" w:rsidP="004072F8">
      <w:pPr>
        <w:bidi/>
        <w:spacing w:before="100" w:beforeAutospacing="1" w:after="100" w:afterAutospacing="1" w:line="360" w:lineRule="auto"/>
        <w:jc w:val="lowKashida"/>
        <w:rPr>
          <w:rFonts w:ascii="B Nazanin" w:eastAsia="Times New Roman" w:hAnsi="B Nazanin" w:cs="B Nazanin"/>
          <w:sz w:val="28"/>
          <w:szCs w:val="28"/>
        </w:rPr>
      </w:pPr>
      <w:r w:rsidRPr="004072F8">
        <w:rPr>
          <w:rFonts w:ascii="B Nazanin" w:eastAsia="Times New Roman" w:hAnsi="B Nazanin" w:cs="B Nazanin"/>
          <w:sz w:val="28"/>
          <w:szCs w:val="28"/>
          <w:rtl/>
        </w:rPr>
        <w:t>شیوه ارجاع مطالب صحیح و با موازین علمی مطابقت دارد، لیکن در برخی جاها از دادن مأخذ کوتاهی شده، از جمله منبع متن قدیمی صفحات 501 و 502 کتاب داده نشده و معلوم نیست نسخه خطی آن در کجا و تحت چه شماره‏ای نگهداری می‏شود. از صفحه 506 به بعد ضمن شرح منظومه‏های نیمه نمایشی از مرثیه نام برده شده، لیکن از نوحه سینه‏زنی که از نظر آئین برگزاری به تعزیه نزدیکتر است و شباهت بیشتر دارد، نامی به میان نیامده است. همچنین از «بحر طویل»ها و بحر طویل‏خوانان که نمونه‏های فراوانی از آنها در دست است</w:t>
      </w:r>
      <w:r w:rsidRPr="004072F8">
        <w:rPr>
          <w:rFonts w:ascii="B Nazanin" w:eastAsia="Times New Roman" w:hAnsi="B Nazanin" w:cs="B Nazanin"/>
          <w:sz w:val="28"/>
          <w:szCs w:val="28"/>
        </w:rPr>
        <w:t>.</w:t>
      </w:r>
    </w:p>
    <w:p w:rsidR="004072F8" w:rsidRPr="004072F8" w:rsidRDefault="004072F8" w:rsidP="004072F8">
      <w:pPr>
        <w:bidi/>
        <w:spacing w:before="100" w:beforeAutospacing="1" w:after="100" w:afterAutospacing="1" w:line="360" w:lineRule="auto"/>
        <w:jc w:val="lowKashida"/>
        <w:rPr>
          <w:rFonts w:ascii="B Nazanin" w:eastAsia="Times New Roman" w:hAnsi="B Nazanin" w:cs="B Nazanin"/>
          <w:sz w:val="28"/>
          <w:szCs w:val="28"/>
        </w:rPr>
      </w:pPr>
      <w:r w:rsidRPr="004072F8">
        <w:rPr>
          <w:rFonts w:ascii="B Nazanin" w:eastAsia="Times New Roman" w:hAnsi="B Nazanin" w:cs="B Nazanin"/>
          <w:sz w:val="28"/>
          <w:szCs w:val="28"/>
          <w:rtl/>
        </w:rPr>
        <w:t>در مجموع شیوه ارجاع به منابع خطی در سراسر کتاب کامل نیست و اگر نام کتابخانه‏ها آمده، ذکری از شماره نسخه خطی در میان نیست. مثلاً در بخش معرفی منابع کلی، اشاره به مجموعه جنگها و نسخه‏های خطی تعزیه در کتابخانه‏های آستان قدس، ملک و مجلس شده بی‏آنکه وصف دقیق هر نسخه و شماره آن بیاید</w:t>
      </w:r>
      <w:r w:rsidRPr="004072F8">
        <w:rPr>
          <w:rFonts w:ascii="B Nazanin" w:eastAsia="Times New Roman" w:hAnsi="B Nazanin" w:cs="B Nazanin"/>
          <w:sz w:val="28"/>
          <w:szCs w:val="28"/>
        </w:rPr>
        <w:t>.</w:t>
      </w:r>
    </w:p>
    <w:p w:rsidR="004072F8" w:rsidRPr="004072F8" w:rsidRDefault="004072F8" w:rsidP="004072F8">
      <w:pPr>
        <w:bidi/>
        <w:spacing w:before="100" w:beforeAutospacing="1" w:after="100" w:afterAutospacing="1" w:line="360" w:lineRule="auto"/>
        <w:jc w:val="lowKashida"/>
        <w:rPr>
          <w:rFonts w:ascii="B Nazanin" w:eastAsia="Times New Roman" w:hAnsi="B Nazanin" w:cs="B Nazanin"/>
          <w:sz w:val="28"/>
          <w:szCs w:val="28"/>
        </w:rPr>
      </w:pPr>
      <w:r w:rsidRPr="004072F8">
        <w:rPr>
          <w:rFonts w:ascii="B Nazanin" w:eastAsia="Times New Roman" w:hAnsi="B Nazanin" w:cs="B Nazanin"/>
          <w:sz w:val="28"/>
          <w:szCs w:val="28"/>
          <w:rtl/>
        </w:rPr>
        <w:t xml:space="preserve">اینک چند نکته جزئی دیگر: 1) علی‏رغم آنکه حدیقة‏الشعرا در سه جلد مفصل به اهتمام دکتر نوایی به چاپ رسیده، نویسنده محترم از نسخه خطی محفوظ در کتابخانه دانشگاه تهران بهره برده‏اند، در حالی‏که در این کتابخانه تنها یک نسخه عکسی از این کتاب موجود است. 2) در ص 738، ابدع‏البدایع صحیح است نه ابداع‏البدایع. 3) نیز در ص </w:t>
      </w:r>
      <w:r w:rsidRPr="004072F8">
        <w:rPr>
          <w:rFonts w:ascii="B Nazanin" w:eastAsia="Times New Roman" w:hAnsi="B Nazanin" w:cs="B Nazanin"/>
          <w:sz w:val="28"/>
          <w:szCs w:val="28"/>
        </w:rPr>
        <w:t>743</w:t>
      </w:r>
      <w:r w:rsidRPr="004072F8">
        <w:rPr>
          <w:rFonts w:ascii="B Nazanin" w:eastAsia="Times New Roman" w:hAnsi="B Nazanin" w:cs="B Nazanin"/>
          <w:sz w:val="28"/>
          <w:szCs w:val="28"/>
          <w:rtl/>
        </w:rPr>
        <w:t>، نویسنده محترم به نسخه خطی جلاءالعیون مجلسی استناد جسته‏اند [نسخه هم معرفی نشده است [در حالی‏که ازاین کتاب چاپهای متعدّد در دست است</w:t>
      </w:r>
      <w:r w:rsidRPr="004072F8">
        <w:rPr>
          <w:rFonts w:ascii="B Nazanin" w:eastAsia="Times New Roman" w:hAnsi="B Nazanin" w:cs="B Nazanin"/>
          <w:sz w:val="28"/>
          <w:szCs w:val="28"/>
        </w:rPr>
        <w:t>.</w:t>
      </w:r>
    </w:p>
    <w:p w:rsidR="00E94446" w:rsidRPr="004072F8" w:rsidRDefault="00E94446" w:rsidP="004072F8">
      <w:pPr>
        <w:bidi/>
        <w:spacing w:line="360" w:lineRule="auto"/>
        <w:jc w:val="lowKashida"/>
        <w:rPr>
          <w:rFonts w:ascii="B Nazanin" w:hAnsi="B Nazanin" w:cs="B Nazanin"/>
          <w:sz w:val="28"/>
          <w:szCs w:val="28"/>
        </w:rPr>
      </w:pPr>
    </w:p>
    <w:sectPr w:rsidR="00E94446" w:rsidRPr="004072F8"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72F8"/>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2F8"/>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924"/>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4840"/>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BBE"/>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0D9C"/>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57F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72F8"/>
    <w:rPr>
      <w:color w:val="0000FF"/>
      <w:u w:val="single"/>
    </w:rPr>
  </w:style>
  <w:style w:type="character" w:customStyle="1" w:styleId="pagecount">
    <w:name w:val="pagecount"/>
    <w:basedOn w:val="DefaultParagraphFont"/>
    <w:rsid w:val="004072F8"/>
  </w:style>
  <w:style w:type="character" w:customStyle="1" w:styleId="pageno">
    <w:name w:val="pageno"/>
    <w:basedOn w:val="DefaultParagraphFont"/>
    <w:rsid w:val="004072F8"/>
  </w:style>
  <w:style w:type="character" w:customStyle="1" w:styleId="magsimg">
    <w:name w:val="magsimg"/>
    <w:basedOn w:val="DefaultParagraphFont"/>
    <w:rsid w:val="004072F8"/>
  </w:style>
  <w:style w:type="paragraph" w:styleId="NormalWeb">
    <w:name w:val="Normal (Web)"/>
    <w:basedOn w:val="Normal"/>
    <w:uiPriority w:val="99"/>
    <w:semiHidden/>
    <w:unhideWhenUsed/>
    <w:rsid w:val="004072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4072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88505004">
      <w:bodyDiv w:val="1"/>
      <w:marLeft w:val="0"/>
      <w:marRight w:val="0"/>
      <w:marTop w:val="0"/>
      <w:marBottom w:val="0"/>
      <w:divBdr>
        <w:top w:val="none" w:sz="0" w:space="0" w:color="auto"/>
        <w:left w:val="none" w:sz="0" w:space="0" w:color="auto"/>
        <w:bottom w:val="none" w:sz="0" w:space="0" w:color="auto"/>
        <w:right w:val="none" w:sz="0" w:space="0" w:color="auto"/>
      </w:divBdr>
      <w:divsChild>
        <w:div w:id="864248128">
          <w:marLeft w:val="0"/>
          <w:marRight w:val="0"/>
          <w:marTop w:val="0"/>
          <w:marBottom w:val="0"/>
          <w:divBdr>
            <w:top w:val="none" w:sz="0" w:space="0" w:color="auto"/>
            <w:left w:val="none" w:sz="0" w:space="0" w:color="auto"/>
            <w:bottom w:val="none" w:sz="0" w:space="0" w:color="auto"/>
            <w:right w:val="none" w:sz="0" w:space="0" w:color="auto"/>
          </w:divBdr>
          <w:divsChild>
            <w:div w:id="973876319">
              <w:marLeft w:val="0"/>
              <w:marRight w:val="0"/>
              <w:marTop w:val="0"/>
              <w:marBottom w:val="0"/>
              <w:divBdr>
                <w:top w:val="none" w:sz="0" w:space="0" w:color="auto"/>
                <w:left w:val="none" w:sz="0" w:space="0" w:color="auto"/>
                <w:bottom w:val="none" w:sz="0" w:space="0" w:color="auto"/>
                <w:right w:val="none" w:sz="0" w:space="0" w:color="auto"/>
              </w:divBdr>
              <w:divsChild>
                <w:div w:id="2052345472">
                  <w:marLeft w:val="0"/>
                  <w:marRight w:val="0"/>
                  <w:marTop w:val="0"/>
                  <w:marBottom w:val="0"/>
                  <w:divBdr>
                    <w:top w:val="none" w:sz="0" w:space="0" w:color="auto"/>
                    <w:left w:val="none" w:sz="0" w:space="0" w:color="auto"/>
                    <w:bottom w:val="none" w:sz="0" w:space="0" w:color="auto"/>
                    <w:right w:val="none" w:sz="0" w:space="0" w:color="auto"/>
                  </w:divBdr>
                </w:div>
                <w:div w:id="613172866">
                  <w:marLeft w:val="0"/>
                  <w:marRight w:val="0"/>
                  <w:marTop w:val="0"/>
                  <w:marBottom w:val="0"/>
                  <w:divBdr>
                    <w:top w:val="none" w:sz="0" w:space="0" w:color="auto"/>
                    <w:left w:val="none" w:sz="0" w:space="0" w:color="auto"/>
                    <w:bottom w:val="none" w:sz="0" w:space="0" w:color="auto"/>
                    <w:right w:val="none" w:sz="0" w:space="0" w:color="auto"/>
                  </w:divBdr>
                </w:div>
                <w:div w:id="2076468985">
                  <w:marLeft w:val="0"/>
                  <w:marRight w:val="0"/>
                  <w:marTop w:val="0"/>
                  <w:marBottom w:val="0"/>
                  <w:divBdr>
                    <w:top w:val="none" w:sz="0" w:space="0" w:color="auto"/>
                    <w:left w:val="none" w:sz="0" w:space="0" w:color="auto"/>
                    <w:bottom w:val="none" w:sz="0" w:space="0" w:color="auto"/>
                    <w:right w:val="none" w:sz="0" w:space="0" w:color="auto"/>
                  </w:divBdr>
                </w:div>
                <w:div w:id="232082626">
                  <w:marLeft w:val="0"/>
                  <w:marRight w:val="0"/>
                  <w:marTop w:val="0"/>
                  <w:marBottom w:val="0"/>
                  <w:divBdr>
                    <w:top w:val="none" w:sz="0" w:space="0" w:color="auto"/>
                    <w:left w:val="none" w:sz="0" w:space="0" w:color="auto"/>
                    <w:bottom w:val="none" w:sz="0" w:space="0" w:color="auto"/>
                    <w:right w:val="none" w:sz="0" w:space="0" w:color="auto"/>
                  </w:divBdr>
                </w:div>
                <w:div w:id="1336228970">
                  <w:marLeft w:val="0"/>
                  <w:marRight w:val="0"/>
                  <w:marTop w:val="0"/>
                  <w:marBottom w:val="0"/>
                  <w:divBdr>
                    <w:top w:val="none" w:sz="0" w:space="0" w:color="auto"/>
                    <w:left w:val="none" w:sz="0" w:space="0" w:color="auto"/>
                    <w:bottom w:val="none" w:sz="0" w:space="0" w:color="auto"/>
                    <w:right w:val="none" w:sz="0" w:space="0" w:color="auto"/>
                  </w:divBdr>
                </w:div>
              </w:divsChild>
            </w:div>
            <w:div w:id="414132759">
              <w:marLeft w:val="0"/>
              <w:marRight w:val="0"/>
              <w:marTop w:val="0"/>
              <w:marBottom w:val="0"/>
              <w:divBdr>
                <w:top w:val="none" w:sz="0" w:space="0" w:color="auto"/>
                <w:left w:val="none" w:sz="0" w:space="0" w:color="auto"/>
                <w:bottom w:val="none" w:sz="0" w:space="0" w:color="auto"/>
                <w:right w:val="none" w:sz="0" w:space="0" w:color="auto"/>
              </w:divBdr>
              <w:divsChild>
                <w:div w:id="1561136997">
                  <w:marLeft w:val="0"/>
                  <w:marRight w:val="0"/>
                  <w:marTop w:val="0"/>
                  <w:marBottom w:val="0"/>
                  <w:divBdr>
                    <w:top w:val="none" w:sz="0" w:space="0" w:color="auto"/>
                    <w:left w:val="none" w:sz="0" w:space="0" w:color="auto"/>
                    <w:bottom w:val="none" w:sz="0" w:space="0" w:color="auto"/>
                    <w:right w:val="none" w:sz="0" w:space="0" w:color="auto"/>
                  </w:divBdr>
                </w:div>
              </w:divsChild>
            </w:div>
            <w:div w:id="1689135078">
              <w:marLeft w:val="0"/>
              <w:marRight w:val="0"/>
              <w:marTop w:val="0"/>
              <w:marBottom w:val="0"/>
              <w:divBdr>
                <w:top w:val="none" w:sz="0" w:space="0" w:color="auto"/>
                <w:left w:val="none" w:sz="0" w:space="0" w:color="auto"/>
                <w:bottom w:val="none" w:sz="0" w:space="0" w:color="auto"/>
                <w:right w:val="none" w:sz="0" w:space="0" w:color="auto"/>
              </w:divBdr>
              <w:divsChild>
                <w:div w:id="145594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701</Words>
  <Characters>4002</Characters>
  <Application>Microsoft Office Word</Application>
  <DocSecurity>0</DocSecurity>
  <Lines>33</Lines>
  <Paragraphs>9</Paragraphs>
  <ScaleCrop>false</ScaleCrop>
  <Company>MRT www.Win2Farsi.com</Company>
  <LinksUpToDate>false</LinksUpToDate>
  <CharactersWithSpaces>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2010-07-15T13:45:00Z</dcterms:created>
  <dcterms:modified xsi:type="dcterms:W3CDTF">2010-07-15T13:47:00Z</dcterms:modified>
</cp:coreProperties>
</file>