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1C" w:rsidRPr="00DC1B1C" w:rsidRDefault="00DC1B1C" w:rsidP="00DC1B1C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DC1B1C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ملاصدرا و حکمت متعالیه </w:t>
      </w:r>
    </w:p>
    <w:p w:rsidR="00DC1B1C" w:rsidRPr="00DC1B1C" w:rsidRDefault="00DC1B1C" w:rsidP="00DC1B1C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DC1B1C">
        <w:rPr>
          <w:rFonts w:ascii="B Nazanin" w:eastAsia="Times New Roman" w:hAnsi="B Nazanin" w:cs="B Nazanin"/>
          <w:b/>
          <w:bCs/>
          <w:sz w:val="28"/>
          <w:szCs w:val="28"/>
          <w:rtl/>
        </w:rPr>
        <w:t>نويسنده : ذکاوتی قراگزلو، علی رضا</w:t>
      </w:r>
    </w:p>
    <w:p w:rsidR="00DC1B1C" w:rsidRPr="00DC1B1C" w:rsidRDefault="00DC1B1C" w:rsidP="00DC1B1C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ملاصدرا و حکمت متعالیه (مجموعه مقالات همایش جهانى حکیم ملاصدرا). بنیاد حکمت اسلامى صدرا. 2 جلد. تهران 1380. وزیرى</w:t>
      </w:r>
      <w:r w:rsidRPr="00DC1B1C">
        <w:rPr>
          <w:rFonts w:ascii="B Nazanin" w:eastAsia="Times New Roman" w:hAnsi="B Nazanin" w:cs="B Nazanin"/>
          <w:sz w:val="28"/>
          <w:szCs w:val="28"/>
        </w:rPr>
        <w:t>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از همایش جهانى ملاصدرا (خرداد 78، تهران) که با تمهیدات چند ساله و تبلیغات فراوان برگزار شد آنچه تاکنون به دست عموم خوانندگان مى‏رسد دو مجلد «گزیده مقالات فارسى» است که البته چهار مقاله آن از انگلیسى و یک مقاله از عربى ترجمه شده است و مجموعا 64 مقاله مى‏باشد. از جمله اهداف این همایش معرفى حکمت متعالیه به جهان غرب بوده که باید منتظر انعکاسات آن در آینده باشیم. آنچه هست مجموعه حاضر براى خواننده متوسط‏الحال و حتى متخصصان سودمند است و البته از «بنیاد حکمت اسلامى صدرا» انتظار آن هست که در انتشار آثار چاپ نشده حکیم و نیز عرضه کتابهاى چاپ شده با تصحیح و ویرایش جدید و حتى‏المقدور به صورت یک شکل و با قیمت مناسب اقدام نمایند و نیز با ترجمه و نشر آثار ملاصدرا ـ خصوصا رسالات کم‏حجم ـ به همت مترجمان شایسته فواید آن را عمومیت بخشند</w:t>
      </w:r>
      <w:r w:rsidRPr="00DC1B1C">
        <w:rPr>
          <w:rFonts w:ascii="B Nazanin" w:eastAsia="Times New Roman" w:hAnsi="B Nazanin" w:cs="B Nazanin"/>
          <w:sz w:val="28"/>
          <w:szCs w:val="28"/>
        </w:rPr>
        <w:t>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با آنکه مقالات گردآورى شده در این دو مجلد قاعدتا منتخب است و از میان تعدادى چند برابر برگزیده شده، بین همین مقالات بعضى برجسته است که یا مضامین تازه و یا تقریر تازه‏اى دارد که به برخى اشاره مى‏کنیم و خواننده را به اصل کتاب ارجاع مى‏دهیم</w:t>
      </w:r>
      <w:r w:rsidRPr="00DC1B1C">
        <w:rPr>
          <w:rFonts w:ascii="B Nazanin" w:eastAsia="Times New Roman" w:hAnsi="B Nazanin" w:cs="B Nazanin"/>
          <w:sz w:val="28"/>
          <w:szCs w:val="28"/>
        </w:rPr>
        <w:t>: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آلب ارسلان آچیک گنج، اسفار اربعه را با مباحث فلسفى بدین‏گونه تطبیق نموده است </w:t>
      </w:r>
      <w:r w:rsidRPr="00DC1B1C">
        <w:rPr>
          <w:rFonts w:ascii="B Nazanin" w:eastAsia="Times New Roman" w:hAnsi="B Nazanin" w:cs="B Nazanin"/>
          <w:sz w:val="28"/>
          <w:szCs w:val="28"/>
        </w:rPr>
        <w:t>(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ج 1/ ص 8): سفر اول: وجودشناسى (من‏الخلق الى الحق)؛ سفر دوم: فلسفه طبیعت یا جهان‏شناسى (من‏الحق الى الخلق بالحق)؛ سفر 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lastRenderedPageBreak/>
        <w:t>سوم: کلام یا الهیات (فى‏الحق بالحق)؛ سفر چهارم: انسان‏شناسى و معادشناسى (بالحق فى الخلق). که توحیه معقولى است (و نیز رک ج 1، ص 54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هرمان لندُلْت، در مقاله «فهم هانرى کربن از ملاصدرا» به نکات مهمى اشاره مى‏کند: مابعدالطبیعه انقلابى ملاصدرا (ج 1، ص 24)، توجه خاص به تعلیقات ملاصدرا بر حکمة‏الاشراق سهروردى و بالأخره تأکید کربن بر معادشناسى شیعه طبق بیان ملاصدرا</w:t>
      </w:r>
      <w:r w:rsidRPr="00DC1B1C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رویکرد شیعیانه ویژه ملاصدرا در شرح اصول کافى هویدا است (ج 1، ص 25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در مقاله «علم و علما از نظر ملاصدرا» به نقل از شرح اصول کافىِ ملاصدرا آمده است: هر کسى که علم خود را از طریق روایت یا شنیدن یا به واسطه یا بى‏واسطه گرفته باشد عالم حقیقى نیست چراکه ممکن است به علم خود شک کند و چه بسا علمش زایل شود</w:t>
      </w:r>
      <w:r w:rsidRPr="00DC1B1C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اما کسى که علم خود را با برهان قدسى و الهام الهى به دست آورده باشد علم او زایل نمى‏شود (ج 1، ص 38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در مقاله کارل و. ارنست نقل قولهاى ملاصدرا از عرفا به صورت آمارى احصاء شده که پیداست از همه بیشتر رجوع و ارجاع به ابن عربى است (227 مورد). به قونوى و قیصرى </w:t>
      </w:r>
      <w:r w:rsidRPr="00DC1B1C">
        <w:rPr>
          <w:rFonts w:ascii="B Nazanin" w:eastAsia="Times New Roman" w:hAnsi="B Nazanin" w:cs="B Nazanin"/>
          <w:sz w:val="28"/>
          <w:szCs w:val="28"/>
        </w:rPr>
        <w:t>(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جمعا 27 مورد)، غزالى (38 مورد)، علاءالدوله (9 مورد) نیز اشاره شده است (ج 1، ص </w:t>
      </w:r>
      <w:r w:rsidRPr="00DC1B1C">
        <w:rPr>
          <w:rFonts w:ascii="B Nazanin" w:eastAsia="Times New Roman" w:hAnsi="B Nazanin" w:cs="B Nazanin"/>
          <w:sz w:val="28"/>
          <w:szCs w:val="28"/>
        </w:rPr>
        <w:t xml:space="preserve">55). 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البته فهرست اعلام چاپ 9 جلدى اسفار کامل نیست و یقینا تعداد مراجعات و ارجاعات بیش از اینهاست، خصوصا که همه جا ملاصدرا تصریح به نام نکرده، مثلاً از محیى‏الدین به «صاحب فتوحات» تعبیر کرده است و اگر دقیق بررسى شود آنگاه نتیجه‏گیریهاى آمارى درست‏تر خواهد بود. در همین مقاله کتب حکمت و حکماى مورد اشاره در اسفار نیز احصاء شده که نقل قول از اثولوجیا (188 مورد)، از شخص ارسطو (55 مورد)، از افلاطون (133 مورد) و از اسکندر افرودیسى 67 مورد است. بین حکماى اسلامى نقل قول از بوعلى سینا 767 مورد، سهروردى 283 مورد، فخر رازى 195 مورد، طوسى 160 مورد، دوانى 133 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lastRenderedPageBreak/>
        <w:t>مورد، میرداماد 73 مورد است. نکته‏اى که درباره عرفا گفتیم اینجا نیز صدق مى‏کند زیرا ممکن است نقل قول از بوعلى تحت نام بوعلى نباشد و لذا ارجاعات ملاصدرا به حکما بیش از این ارقام خواهد بود</w:t>
      </w:r>
      <w:r w:rsidRPr="00DC1B1C">
        <w:rPr>
          <w:rFonts w:ascii="B Nazanin" w:eastAsia="Times New Roman" w:hAnsi="B Nazanin" w:cs="B Nazanin"/>
          <w:sz w:val="28"/>
          <w:szCs w:val="28"/>
        </w:rPr>
        <w:t>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در مقاله «سیرى در نقد افکار ملاصدرا طى چهار قرن اخیر» (به قلم علیرضا ذکاوتى قراگزلو) به مهم‏ترین منتقدان ملاصدرا از زمان خود او تا زمان ما اشاره شده که البته مى‏توان بحث را بسط داد و یک رساله از آن بیرون آورد (ج 1، ص 106ـ93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مقاله «دورنمایى از زندگانى صدرالمتألهین شیرازى» (به قلم استاد على دوانى</w:t>
      </w:r>
      <w:r w:rsidRPr="00DC1B1C">
        <w:rPr>
          <w:rFonts w:ascii="B Nazanin" w:eastAsia="Times New Roman" w:hAnsi="B Nazanin" w:cs="B Nazanin"/>
          <w:sz w:val="28"/>
          <w:szCs w:val="28"/>
        </w:rPr>
        <w:t>)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، نکات ارزنده‏اى در احوال ملاصدرا دارد از جمله اینکه هفت سفر مشهور ملاصدرا به حج درست نیست و ملاصدرا در راه اولین حج در بصره مرحوم شده و در نجف به خاک سپرده شده است چنانکه عبدالرزاق لاهیجى شاگرد و داماد ملاصدرا مى‏سراید (ج 1، ص 143</w:t>
      </w:r>
      <w:r w:rsidRPr="00DC1B1C">
        <w:rPr>
          <w:rFonts w:ascii="B Nazanin" w:eastAsia="Times New Roman" w:hAnsi="B Nazanin" w:cs="B Nazanin"/>
          <w:sz w:val="28"/>
          <w:szCs w:val="28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3580"/>
      </w:tblGrid>
      <w:tr w:rsidR="00DC1B1C" w:rsidRPr="00DC1B1C" w:rsidTr="00DC1B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B1C" w:rsidRPr="00DC1B1C" w:rsidRDefault="00DC1B1C" w:rsidP="00DC1B1C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DC1B1C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زان پیشتر که جسم رهِ کعبه طى کند </w:t>
            </w:r>
          </w:p>
        </w:tc>
        <w:tc>
          <w:tcPr>
            <w:tcW w:w="0" w:type="auto"/>
            <w:vAlign w:val="center"/>
            <w:hideMark/>
          </w:tcPr>
          <w:p w:rsidR="00DC1B1C" w:rsidRPr="00DC1B1C" w:rsidRDefault="00DC1B1C" w:rsidP="00DC1B1C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DC1B1C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شوقش به وصل کعبه جانها رساند راست </w:t>
            </w:r>
          </w:p>
        </w:tc>
      </w:tr>
      <w:tr w:rsidR="00DC1B1C" w:rsidRPr="00DC1B1C" w:rsidTr="00DC1B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B1C" w:rsidRPr="00DC1B1C" w:rsidRDefault="00DC1B1C" w:rsidP="00DC1B1C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DC1B1C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در راه کعبه مرده و آسوده در نجف </w:t>
            </w:r>
          </w:p>
        </w:tc>
        <w:tc>
          <w:tcPr>
            <w:tcW w:w="0" w:type="auto"/>
            <w:vAlign w:val="center"/>
            <w:hideMark/>
          </w:tcPr>
          <w:p w:rsidR="00DC1B1C" w:rsidRPr="00DC1B1C" w:rsidRDefault="00DC1B1C" w:rsidP="00DC1B1C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DC1B1C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اى من فداى خاک تو این مرتبت کراست؟ </w:t>
            </w:r>
          </w:p>
        </w:tc>
      </w:tr>
    </w:tbl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گفتار «حکمت متعالیه صدرالمتألهین» (به قلم آیت‏الله جوادى آملى)، که قبلاً نیز در چند جا چاپ شده بود، در کتاب نقل شده (ج 1، ص 208ـ183) و آن تقریرى ارزنده است از تحلیل درونى حکمت صدرایى و تطبیق آن با تحول روحى آن حکیم، یک نکته مهم در این مقاله این است که ملاصدرا تألیف اسفار را همزمان با کتب دیگر خود پیش مى‏برده، چنانکه در اسفار به آن کتابها و در آن کتابها به اسفار اشاره شده است. (ج 1، ص </w:t>
      </w:r>
      <w:r w:rsidRPr="00DC1B1C">
        <w:rPr>
          <w:rFonts w:ascii="B Nazanin" w:eastAsia="Times New Roman" w:hAnsi="B Nazanin" w:cs="B Nazanin"/>
          <w:sz w:val="28"/>
          <w:szCs w:val="28"/>
        </w:rPr>
        <w:t>205).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مقاله الیور لیمن با عنوان «وجود عینیت خیال در فلسفه اسلامى» بحثى عالمانه در موضوع تجرد خیال است (ج 1، ص 365ـ243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مقاله «نقدى بر وجود ذهنى از دیدگاه صدرالمتألهین» خواندنى است (ج 1، ص </w:t>
      </w:r>
      <w:r w:rsidRPr="00DC1B1C">
        <w:rPr>
          <w:rFonts w:ascii="B Nazanin" w:eastAsia="Times New Roman" w:hAnsi="B Nazanin" w:cs="B Nazanin"/>
          <w:sz w:val="28"/>
          <w:szCs w:val="28"/>
        </w:rPr>
        <w:t>317).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lastRenderedPageBreak/>
        <w:t>مقاله «تبیین وجودى زمان در نظام فلسفى صدرالمتألهین» (نوشته رضا اکبریان</w:t>
      </w:r>
      <w:r w:rsidRPr="00DC1B1C">
        <w:rPr>
          <w:rFonts w:ascii="B Nazanin" w:eastAsia="Times New Roman" w:hAnsi="B Nazanin" w:cs="B Nazanin"/>
          <w:sz w:val="28"/>
          <w:szCs w:val="28"/>
        </w:rPr>
        <w:t>)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، عالمانه و دقیق است. صدرا زمان را مرتبه نازلى از وجود مى‏داند (ج 1، ص 372). از همین نویسنده مقاله «حرکت جوهرى» نیز عالمانه و دقیق است (ج 2، ص 251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در مقاله «روح افلاطونى در فلسفه ملاصدرا» (نوشته آیت‏الله سید محمد خامنه‏اى</w:t>
      </w:r>
      <w:r w:rsidRPr="00DC1B1C">
        <w:rPr>
          <w:rFonts w:ascii="B Nazanin" w:eastAsia="Times New Roman" w:hAnsi="B Nazanin" w:cs="B Nazanin"/>
          <w:sz w:val="28"/>
          <w:szCs w:val="28"/>
        </w:rPr>
        <w:t>)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، راجع به اطلاقات روح و نفس بحث مى‏شود، و اینکه آیا نظریه جسمانیة‏الحدوث بدون نفس با تقدم روح بر بدن (مضمون بعضى روایات) مى‏سازد؟ در هر حال ملاصدرا در این مسئله هم مثل خیلى مسائل دیگر روش تلفیق و جمع را به کار گرفته است</w:t>
      </w:r>
      <w:r w:rsidRPr="00DC1B1C">
        <w:rPr>
          <w:rFonts w:ascii="B Nazanin" w:eastAsia="Times New Roman" w:hAnsi="B Nazanin" w:cs="B Nazanin"/>
          <w:sz w:val="28"/>
          <w:szCs w:val="28"/>
        </w:rPr>
        <w:t>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مقاله «مثل افلاطونى از نظر صدرالمتألهین» (نوشته خانم زهرا مصطفوى)، (ج 2، ص </w:t>
      </w:r>
      <w:r w:rsidRPr="00DC1B1C">
        <w:rPr>
          <w:rFonts w:ascii="B Nazanin" w:eastAsia="Times New Roman" w:hAnsi="B Nazanin" w:cs="B Nazanin"/>
          <w:sz w:val="28"/>
          <w:szCs w:val="28"/>
        </w:rPr>
        <w:t>1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ـ23) خواندنى است (و نیز رک. ج 2، ص 162ـ143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DC1B1C">
        <w:rPr>
          <w:rFonts w:ascii="B Nazanin" w:eastAsia="Times New Roman" w:hAnsi="B Nazanin" w:cs="B Nazanin"/>
          <w:sz w:val="28"/>
          <w:szCs w:val="28"/>
        </w:rPr>
        <w:t>«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تحلیل انتقادى مسئله اصالت وجود» عنوان مقاله سیدیحیى یثربى است (ج 2، ص </w:t>
      </w:r>
      <w:r w:rsidRPr="00DC1B1C">
        <w:rPr>
          <w:rFonts w:ascii="B Nazanin" w:eastAsia="Times New Roman" w:hAnsi="B Nazanin" w:cs="B Nazanin"/>
          <w:sz w:val="28"/>
          <w:szCs w:val="28"/>
        </w:rPr>
        <w:t>48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>ـ27).</w:t>
      </w:r>
      <w:proofErr w:type="gramEnd"/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 نویسنده نتیجه‏گیرى مى‏کند که اصالت وجود یا اصالت ماهیت از نظر مبانى معرفت‏شناختى یکسان است حال آنکه از دیدگاه عرفانى ادراک مسائل وجود وراى حس و عقل است (ج 2، ص 45 و 46). به نظر نویسنده از لحاظ فلسفى اصالت وجود به معناى عرفانى مشکل‏گشا و کارساز است نه اصالت وجود به معناى صدرایى آن (ص 43 و 44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مقاله ابراهیم کلمین با عنوان «دیدگاه ملاصدرا درباره حرکت، مرز میان فیزیک و ماوراءالطبیعه» (ج 2، ص 142ـ119). موضوع جالبى دارد و نتیجه مى‏گیرد صدرا فاصله فیزیک و متافیزیک را کم کرده است (ج 2، ص 142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سلمان البدور دانشمند اردنى، مبحث وجود را موشکافى کرده (ج 2، ص 187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على ربانى گلپایگانى حدوث جهان از دید حکیم صدرا را حلاجى کرده است (ج 2، ص </w:t>
      </w:r>
      <w:r w:rsidRPr="00DC1B1C">
        <w:rPr>
          <w:rFonts w:ascii="B Nazanin" w:eastAsia="Times New Roman" w:hAnsi="B Nazanin" w:cs="B Nazanin"/>
          <w:sz w:val="28"/>
          <w:szCs w:val="28"/>
        </w:rPr>
        <w:t>211).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lastRenderedPageBreak/>
        <w:t>سیدحسین موسویان مى‏نویسد: ملاصدرا بحث حدوث را از مطالب «هل» به مطالب «ما</w:t>
      </w:r>
      <w:r w:rsidRPr="00DC1B1C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DC1B1C">
        <w:rPr>
          <w:rFonts w:ascii="B Nazanin" w:eastAsia="Times New Roman" w:hAnsi="B Nazanin" w:cs="B Nazanin"/>
          <w:sz w:val="28"/>
          <w:szCs w:val="28"/>
          <w:rtl/>
        </w:rPr>
        <w:t xml:space="preserve">برده، تا تصور درستى از حدوث نداشته باشیم؛ تصدیق حکمى در باب آن دشوار است (ج 2، ص </w:t>
      </w:r>
      <w:r w:rsidRPr="00DC1B1C">
        <w:rPr>
          <w:rFonts w:ascii="B Nazanin" w:eastAsia="Times New Roman" w:hAnsi="B Nazanin" w:cs="B Nazanin"/>
          <w:sz w:val="28"/>
          <w:szCs w:val="28"/>
        </w:rPr>
        <w:t>249).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احمد بهشتى مقاله «علم واجب‏الوجود از دیدگاه صدرالمتألهین» را نوشته که پیشتر نیز چاپ شده بود (ج 2، ص 329ـ307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دو مقاله «حکمت مدنى در نگاه صدرالمتألهین» و «جایگاه سیاست در منظومه فکرى ملاصدرا» چیز تازه‏اى ندارد و همین قدر نشان مى‏دهد که آن اندیشمند فرزانه از وضع زمانه خود ناراضى بوده و فرموده است: «مافتنةٌ دخل فى الدین و خللٌ فى عقاید المسلمین الاّ و منشاؤها مخالطة العلماء الناقصین مع حکام الدنیا و السلاطین» (ج 2، ص 82</w:t>
      </w:r>
      <w:r w:rsidRPr="00DC1B1C">
        <w:rPr>
          <w:rFonts w:ascii="B Nazanin" w:eastAsia="Times New Roman" w:hAnsi="B Nazanin" w:cs="B Nazanin"/>
          <w:sz w:val="28"/>
          <w:szCs w:val="28"/>
        </w:rPr>
        <w:t>).</w:t>
      </w:r>
    </w:p>
    <w:p w:rsidR="00DC1B1C" w:rsidRPr="00DC1B1C" w:rsidRDefault="00DC1B1C" w:rsidP="00DC1B1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DC1B1C">
        <w:rPr>
          <w:rFonts w:ascii="B Nazanin" w:eastAsia="Times New Roman" w:hAnsi="B Nazanin" w:cs="B Nazanin"/>
          <w:sz w:val="28"/>
          <w:szCs w:val="28"/>
          <w:rtl/>
        </w:rPr>
        <w:t>علیرضا ذکاوتى‏قراگزلو</w:t>
      </w:r>
    </w:p>
    <w:p w:rsidR="00E94446" w:rsidRPr="00DC1B1C" w:rsidRDefault="00E94446" w:rsidP="00DC1B1C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DC1B1C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B1C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1B1C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B1C"/>
    <w:rPr>
      <w:color w:val="0000FF"/>
      <w:u w:val="single"/>
    </w:rPr>
  </w:style>
  <w:style w:type="character" w:customStyle="1" w:styleId="pagecount">
    <w:name w:val="pagecount"/>
    <w:basedOn w:val="DefaultParagraphFont"/>
    <w:rsid w:val="00DC1B1C"/>
  </w:style>
  <w:style w:type="character" w:customStyle="1" w:styleId="pageno">
    <w:name w:val="pageno"/>
    <w:basedOn w:val="DefaultParagraphFont"/>
    <w:rsid w:val="00DC1B1C"/>
  </w:style>
  <w:style w:type="character" w:customStyle="1" w:styleId="magsimg">
    <w:name w:val="magsimg"/>
    <w:basedOn w:val="DefaultParagraphFont"/>
    <w:rsid w:val="00DC1B1C"/>
  </w:style>
  <w:style w:type="paragraph" w:styleId="NormalWeb">
    <w:name w:val="Normal (Web)"/>
    <w:basedOn w:val="Normal"/>
    <w:uiPriority w:val="99"/>
    <w:semiHidden/>
    <w:unhideWhenUsed/>
    <w:rsid w:val="00DC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DC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5348</Characters>
  <Application>Microsoft Office Word</Application>
  <DocSecurity>0</DocSecurity>
  <Lines>44</Lines>
  <Paragraphs>12</Paragraphs>
  <ScaleCrop>false</ScaleCrop>
  <Company>MRT www.Win2Farsi.com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2010-07-15T13:17:00Z</dcterms:created>
  <dcterms:modified xsi:type="dcterms:W3CDTF">2010-07-15T13:19:00Z</dcterms:modified>
</cp:coreProperties>
</file>