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8C5" w:rsidRDefault="006E38C5" w:rsidP="006E38C5">
      <w:pPr>
        <w:pStyle w:val="Heading3"/>
        <w:bidi/>
        <w:rPr>
          <w:rFonts w:ascii="Arabic Transparent" w:hAnsi="Arabic Transparent" w:cs="Arabic Transparent"/>
          <w:rtl/>
        </w:rPr>
      </w:pPr>
      <w:r>
        <w:rPr>
          <w:rFonts w:ascii="Arabic Transparent" w:hAnsi="Arabic Transparent" w:cs="Arabic Transparent"/>
          <w:rtl/>
        </w:rPr>
        <w:t>چكيده:</w:t>
      </w:r>
    </w:p>
    <w:p w:rsidR="006E38C5" w:rsidRDefault="006E38C5" w:rsidP="006E38C5">
      <w:pPr>
        <w:pStyle w:val="NormalWeb"/>
        <w:rPr>
          <w:rFonts w:ascii="Arabic Transparent" w:hAnsi="Arabic Transparent" w:cs="Arabic Transparent"/>
          <w:rtl/>
        </w:rPr>
      </w:pPr>
      <w:r>
        <w:rPr>
          <w:rFonts w:ascii="Arabic Transparent" w:hAnsi="Arabic Transparent" w:cs="Arabic Transparent"/>
          <w:rtl/>
        </w:rPr>
        <w:t>دسترسى به اطلاعات حجم اقتصاد زير زمينى وميزان فرار مالياتى براى سياستهاى كلان اقتصادى مهم است. ما در اين مقاله از مجموعه و منطق فازى براى ايجاد يك سرى زمانى سالانه براى اقتصاد زيرزمينى (غير قابل مشاهده)و فرار مالياتى در ايران براى دوره زمانى (1378 -1343) استفاده مى كنيم. دو متغير ورودى (نهاده)مورد استفاده نرخ مؤثر ماليات وشاخص مقررات هستند. رويكرد منطق فازى براى مسئله اندازه گيرى تا حدى ذهنى است، امانتايج كاملاً محكم و قابل انتخاب است.</w:t>
      </w:r>
    </w:p>
    <w:p w:rsidR="006E38C5" w:rsidRDefault="006E38C5" w:rsidP="006E38C5">
      <w:pPr>
        <w:pStyle w:val="NormalWeb"/>
        <w:rPr>
          <w:rFonts w:ascii="Arabic Transparent" w:hAnsi="Arabic Transparent" w:cs="Arabic Transparent"/>
          <w:rtl/>
        </w:rPr>
      </w:pPr>
      <w:r>
        <w:rPr>
          <w:rFonts w:ascii="Arabic Transparent" w:hAnsi="Arabic Transparent" w:cs="Arabic Transparent"/>
          <w:rtl/>
        </w:rPr>
        <w:t>واژگان كليدى: اقتصاد زيرزمينى، فرارمالياتى، نظريه فازى، منطق فازى، نرخ مؤثرمالياتى، درجه مقررات</w:t>
      </w:r>
    </w:p>
    <w:p w:rsidR="006E38C5" w:rsidRDefault="006E38C5" w:rsidP="006E38C5">
      <w:pPr>
        <w:pStyle w:val="Heading3"/>
        <w:bidi/>
        <w:rPr>
          <w:rFonts w:ascii="Arabic Transparent" w:hAnsi="Arabic Transparent" w:cs="Arabic Transparent"/>
          <w:rtl/>
        </w:rPr>
      </w:pPr>
      <w:r>
        <w:rPr>
          <w:rFonts w:ascii="Arabic Transparent" w:hAnsi="Arabic Transparent" w:cs="Arabic Transparent"/>
          <w:rtl/>
        </w:rPr>
        <w:t xml:space="preserve">مقدمه </w:t>
      </w:r>
    </w:p>
    <w:p w:rsidR="006E38C5" w:rsidRDefault="006E38C5" w:rsidP="006E38C5">
      <w:pPr>
        <w:pStyle w:val="NormalWeb"/>
        <w:rPr>
          <w:rFonts w:ascii="Arabic Transparent" w:hAnsi="Arabic Transparent" w:cs="Arabic Transparent"/>
          <w:rtl/>
        </w:rPr>
      </w:pPr>
      <w:r>
        <w:rPr>
          <w:rFonts w:ascii="Arabic Transparent" w:hAnsi="Arabic Transparent" w:cs="Arabic Transparent"/>
          <w:rtl/>
        </w:rPr>
        <w:t>تحقيقات نشان داده‏اند كه بين فرار مالياتى واقتصاد زيرزمينى (</w:t>
      </w:r>
      <w:r>
        <w:rPr>
          <w:rFonts w:ascii="Arabic Transparent" w:hAnsi="Arabic Transparent" w:cs="Arabic Transparent"/>
        </w:rPr>
        <w:t>underground</w:t>
      </w:r>
      <w:r>
        <w:rPr>
          <w:rFonts w:ascii="Arabic Transparent" w:hAnsi="Arabic Transparent" w:cs="Arabic Transparent"/>
          <w:rtl/>
        </w:rPr>
        <w:t xml:space="preserve"> </w:t>
      </w:r>
      <w:r>
        <w:rPr>
          <w:rFonts w:ascii="Arabic Transparent" w:hAnsi="Arabic Transparent" w:cs="Arabic Transparent"/>
        </w:rPr>
        <w:t>economy</w:t>
      </w:r>
      <w:r>
        <w:rPr>
          <w:rFonts w:ascii="Arabic Transparent" w:hAnsi="Arabic Transparent" w:cs="Arabic Transparent"/>
          <w:rtl/>
        </w:rPr>
        <w:t>) همراهى وجود دارد(تانزى1982). داشتن اطلاعات در مورد حجم اقتصاد زيرزمينى و اندازه فرار مالياتى براى سياستگذاران اقتصادى بويژه مقامات مالياتى (سياستگذاران مالى) در پركردن شكاف مالياتى (</w:t>
      </w:r>
      <w:r>
        <w:rPr>
          <w:rFonts w:ascii="Arabic Transparent" w:hAnsi="Arabic Transparent" w:cs="Arabic Transparent"/>
        </w:rPr>
        <w:t>Tax-Gap</w:t>
      </w:r>
      <w:r>
        <w:rPr>
          <w:rFonts w:ascii="Arabic Transparent" w:hAnsi="Arabic Transparent" w:cs="Arabic Transparent"/>
          <w:rtl/>
        </w:rPr>
        <w:t>) اهميت بسزائى دارد. همچنين اين موضوع براى تعيين اثربخشى براى سياستهاى پولى و مالى، رشد اقتصادى و توزيع درآمد مورد توجه قرار گرفته است.</w:t>
      </w:r>
    </w:p>
    <w:p w:rsidR="006E38C5" w:rsidRDefault="006E38C5" w:rsidP="006E38C5">
      <w:pPr>
        <w:pStyle w:val="NormalWeb"/>
        <w:rPr>
          <w:rFonts w:ascii="Arabic Transparent" w:hAnsi="Arabic Transparent" w:cs="Arabic Transparent"/>
          <w:rtl/>
        </w:rPr>
      </w:pPr>
      <w:r>
        <w:rPr>
          <w:rFonts w:ascii="Arabic Transparent" w:hAnsi="Arabic Transparent" w:cs="Arabic Transparent"/>
          <w:rtl/>
        </w:rPr>
        <w:t>اقتصاد زيرزمينى شامل فعاليتها و مبادلاتى است كه هر كدام ممكن است قانونى يا غيرقانونى باشد، اما اندازه‏گيرى نشده‏اند، زيرا گزارش نمى‏شوند. فقدان گزارش معمولاً بخاطر فرار ماليات است. مثالهائى از اين فعاليتها شامل پرداختهاى نقدى گزارش نشده، اخاذى، قاچاق، فحشاء، فروش موادمخدر و... .</w:t>
      </w:r>
    </w:p>
    <w:p w:rsidR="006E38C5" w:rsidRDefault="006E38C5" w:rsidP="006E38C5">
      <w:pPr>
        <w:pStyle w:val="NormalWeb"/>
        <w:rPr>
          <w:rFonts w:ascii="Arabic Transparent" w:hAnsi="Arabic Transparent" w:cs="Arabic Transparent"/>
          <w:rtl/>
        </w:rPr>
      </w:pPr>
      <w:r>
        <w:rPr>
          <w:rFonts w:ascii="Arabic Transparent" w:hAnsi="Arabic Transparent" w:cs="Arabic Transparent"/>
          <w:rtl/>
        </w:rPr>
        <w:t>ماهيت اقتصادزيرزمينى بطور مستقيم قابل مشاهده نيست، به هر حال، چند روش توسط اقتصاددانان مختلف براى بدست آوردن اندازه اقتصاد زيرزمينى در كشورهاى مختلف استفاده مى شود. شواهد قابل دسترس فعلى براى برخى كشورها دلالت بر اين دارد كه:</w:t>
      </w:r>
    </w:p>
    <w:p w:rsidR="006E38C5" w:rsidRDefault="006E38C5" w:rsidP="006E38C5">
      <w:pPr>
        <w:pStyle w:val="NormalWeb"/>
        <w:rPr>
          <w:rFonts w:ascii="Arabic Transparent" w:hAnsi="Arabic Transparent" w:cs="Arabic Transparent"/>
          <w:rtl/>
        </w:rPr>
      </w:pPr>
      <w:r>
        <w:rPr>
          <w:rFonts w:ascii="Arabic Transparent" w:hAnsi="Arabic Transparent" w:cs="Arabic Transparent"/>
          <w:rtl/>
        </w:rPr>
        <w:t>1- اقتصادزيرزمينى در حال رشد است (نه فقط بصورت اسمى و واقعى بلكه بطورنسبتى ازتوليدناخالص ثبت شده).</w:t>
      </w:r>
    </w:p>
    <w:p w:rsidR="006E38C5" w:rsidRDefault="006E38C5" w:rsidP="006E38C5">
      <w:pPr>
        <w:pStyle w:val="NormalWeb"/>
        <w:rPr>
          <w:rFonts w:ascii="Arabic Transparent" w:hAnsi="Arabic Transparent" w:cs="Arabic Transparent"/>
          <w:rtl/>
        </w:rPr>
      </w:pPr>
      <w:r>
        <w:rPr>
          <w:rFonts w:ascii="Arabic Transparent" w:hAnsi="Arabic Transparent" w:cs="Arabic Transparent"/>
          <w:rtl/>
        </w:rPr>
        <w:t>2- دلايلى وجود دارد كه اين رشد اقتصاد زيرزمينى با افزايش، در بار مالياتى واقعى، همراه است.</w:t>
      </w:r>
    </w:p>
    <w:p w:rsidR="006E38C5" w:rsidRDefault="006E38C5" w:rsidP="006E38C5">
      <w:pPr>
        <w:pStyle w:val="NormalWeb"/>
        <w:rPr>
          <w:rFonts w:ascii="Arabic Transparent" w:hAnsi="Arabic Transparent" w:cs="Arabic Transparent"/>
          <w:rtl/>
        </w:rPr>
      </w:pPr>
      <w:r>
        <w:rPr>
          <w:rFonts w:ascii="Arabic Transparent" w:hAnsi="Arabic Transparent" w:cs="Arabic Transparent"/>
          <w:rtl/>
        </w:rPr>
        <w:t>3- مداركى وجود دارد كه همانند قبل بين فعاليت اقتصاد زيرزمينى و مقررات اقتصادى همراهى وجود دارد.</w:t>
      </w:r>
    </w:p>
    <w:p w:rsidR="006E38C5" w:rsidRDefault="006E38C5" w:rsidP="006E38C5">
      <w:pPr>
        <w:pStyle w:val="NormalWeb"/>
        <w:rPr>
          <w:rFonts w:ascii="Arabic Transparent" w:hAnsi="Arabic Transparent" w:cs="Arabic Transparent"/>
          <w:rtl/>
        </w:rPr>
      </w:pPr>
      <w:r>
        <w:rPr>
          <w:rFonts w:ascii="Arabic Transparent" w:hAnsi="Arabic Transparent" w:cs="Arabic Transparent"/>
          <w:rtl/>
        </w:rPr>
        <w:t>بهر حال اندازه‏هاى كمّى قابل دسترس اقتصاد زيرزمينى به يك واقعيت مهم اشاره دارد: اندازه اقتصاد زيرزمينى در همه كشورها با توجه به داده هايى كه گزارش شده است، در حال رشد است. اين پديده دراين حالت نه فقط بصورت مطلق (اسمى )است، بلكه همچنين به طور نسبى، وقتى كه اقتصاد زيرزمينى اندازه‏گيرى شده را بصورت نسبتى از توليد ناخالص داخلى هر كشور ملاحظه مى‏كنيم. براى مثال اشنايدر (</w:t>
      </w:r>
      <w:r>
        <w:rPr>
          <w:rFonts w:ascii="Arabic Transparent" w:hAnsi="Arabic Transparent" w:cs="Arabic Transparent"/>
        </w:rPr>
        <w:t>Schneider</w:t>
      </w:r>
      <w:r>
        <w:rPr>
          <w:rFonts w:ascii="Arabic Transparent" w:hAnsi="Arabic Transparent" w:cs="Arabic Transparent"/>
          <w:rtl/>
        </w:rPr>
        <w:t>) و انست (</w:t>
      </w:r>
      <w:proofErr w:type="spellStart"/>
      <w:r>
        <w:rPr>
          <w:rFonts w:ascii="Arabic Transparent" w:hAnsi="Arabic Transparent" w:cs="Arabic Transparent"/>
        </w:rPr>
        <w:t>Enste</w:t>
      </w:r>
      <w:proofErr w:type="spellEnd"/>
      <w:r>
        <w:rPr>
          <w:rFonts w:ascii="Arabic Transparent" w:hAnsi="Arabic Transparent" w:cs="Arabic Transparent"/>
        </w:rPr>
        <w:t>) (1998</w:t>
      </w:r>
      <w:r>
        <w:rPr>
          <w:rFonts w:ascii="Arabic Transparent" w:hAnsi="Arabic Transparent" w:cs="Arabic Transparent"/>
          <w:rtl/>
        </w:rPr>
        <w:t>) شواهد بين‏المللى زيادى براى اين مشاهدات ايجاد كرده‏اند.</w:t>
      </w:r>
    </w:p>
    <w:p w:rsidR="006E38C5" w:rsidRDefault="006E38C5" w:rsidP="006E38C5">
      <w:pPr>
        <w:pStyle w:val="NormalWeb"/>
        <w:rPr>
          <w:rFonts w:ascii="Arabic Transparent" w:hAnsi="Arabic Transparent" w:cs="Arabic Transparent"/>
          <w:rtl/>
        </w:rPr>
      </w:pPr>
      <w:r>
        <w:rPr>
          <w:rFonts w:ascii="Arabic Transparent" w:hAnsi="Arabic Transparent" w:cs="Arabic Transparent"/>
          <w:rtl/>
        </w:rPr>
        <w:t>از اين رو يك نياز ضرورى و فورى براى بهبود و نو كردن روشهاى اندازه گيرى ابعاد اقتصادزيرزمينى غيرقابل مشاهده احساس مى‏شود. در اين مقاله مااين نياز را با تشريح اين كه چطور ابزار نظريه مجموعه هاى فازى (</w:t>
      </w:r>
      <w:r>
        <w:rPr>
          <w:rFonts w:ascii="Arabic Transparent" w:hAnsi="Arabic Transparent" w:cs="Arabic Transparent"/>
        </w:rPr>
        <w:t>Fuzzy Set</w:t>
      </w:r>
      <w:r>
        <w:rPr>
          <w:rFonts w:ascii="Arabic Transparent" w:hAnsi="Arabic Transparent" w:cs="Arabic Transparent"/>
          <w:rtl/>
        </w:rPr>
        <w:t>) ومنطق فازى (</w:t>
      </w:r>
      <w:r>
        <w:rPr>
          <w:rFonts w:ascii="Arabic Transparent" w:hAnsi="Arabic Transparent" w:cs="Arabic Transparent"/>
        </w:rPr>
        <w:t>Fuzzy Logic</w:t>
      </w:r>
      <w:r>
        <w:rPr>
          <w:rFonts w:ascii="Arabic Transparent" w:hAnsi="Arabic Transparent" w:cs="Arabic Transparent"/>
          <w:rtl/>
        </w:rPr>
        <w:t>) مى‏تواند براى ايجاد يك سرى زمانى ازاقتصاد زيرزمينى بكار رود بحث خواهيم كرد .اين تصوير محدوديتهائى دارد، اما نويدبخش و كاربردى است.</w:t>
      </w:r>
    </w:p>
    <w:p w:rsidR="006E38C5" w:rsidRDefault="006E38C5" w:rsidP="006E38C5">
      <w:pPr>
        <w:pStyle w:val="NormalWeb"/>
        <w:rPr>
          <w:rFonts w:ascii="Arabic Transparent" w:hAnsi="Arabic Transparent" w:cs="Arabic Transparent"/>
          <w:rtl/>
        </w:rPr>
      </w:pPr>
      <w:r>
        <w:rPr>
          <w:rFonts w:ascii="Arabic Transparent" w:hAnsi="Arabic Transparent" w:cs="Arabic Transparent"/>
          <w:rtl/>
        </w:rPr>
        <w:t>بخش اول، مرورى بر ادبيات و تجربيات اقتصاد زير زمينى وفرارمالياتى است. بخش دوم، بعضى از پايه هاى اصلى همراه با مجموعه فازى را توضيح مى‏دهد كه زمينه اصلى روش شناسى ما است. جزئيات بيشتر اين روش شناسى در بخش سوم آمده است. نتايج اصلى براى ايران در بخش چهارم تشريح شده است. بخش آخر به يك تصوير كلى براى تحقيقات آينده روى اين موضوع اشاره دارد.</w:t>
      </w:r>
    </w:p>
    <w:p w:rsidR="006E38C5" w:rsidRDefault="006E38C5" w:rsidP="006E38C5">
      <w:pPr>
        <w:pStyle w:val="Heading3"/>
        <w:bidi/>
        <w:rPr>
          <w:rFonts w:ascii="Arabic Transparent" w:hAnsi="Arabic Transparent" w:cs="Arabic Transparent"/>
          <w:rtl/>
        </w:rPr>
      </w:pPr>
      <w:r>
        <w:rPr>
          <w:rFonts w:ascii="Arabic Transparent" w:hAnsi="Arabic Transparent" w:cs="Arabic Transparent"/>
          <w:rtl/>
        </w:rPr>
        <w:lastRenderedPageBreak/>
        <w:t>1- مرورى بر ادبيات و تجربيات اقتصاد زيرزمينى و فرار مالياتى</w:t>
      </w:r>
    </w:p>
    <w:p w:rsidR="006E38C5" w:rsidRDefault="006E38C5" w:rsidP="006E38C5">
      <w:pPr>
        <w:pStyle w:val="NormalWeb"/>
        <w:rPr>
          <w:rFonts w:ascii="Arabic Transparent" w:hAnsi="Arabic Transparent" w:cs="Arabic Transparent"/>
          <w:rtl/>
        </w:rPr>
      </w:pPr>
      <w:r>
        <w:rPr>
          <w:rFonts w:ascii="Arabic Transparent" w:hAnsi="Arabic Transparent" w:cs="Arabic Transparent"/>
          <w:rtl/>
        </w:rPr>
        <w:t>درباره روشهاى اندازه‏گيرى حجم اقتصاد زيرزمينى و فرار مالياتى نوشته‏هاى زيادى موجود است. بعضى از اين روشها بوسيله ارارد (</w:t>
      </w:r>
      <w:proofErr w:type="spellStart"/>
      <w:r>
        <w:rPr>
          <w:rFonts w:ascii="Arabic Transparent" w:hAnsi="Arabic Transparent" w:cs="Arabic Transparent"/>
        </w:rPr>
        <w:t>Erard</w:t>
      </w:r>
      <w:proofErr w:type="spellEnd"/>
      <w:r>
        <w:rPr>
          <w:rFonts w:ascii="Arabic Transparent" w:hAnsi="Arabic Transparent" w:cs="Arabic Transparent"/>
          <w:rtl/>
        </w:rPr>
        <w:t>) و گيلز (</w:t>
      </w:r>
      <w:r>
        <w:rPr>
          <w:rFonts w:ascii="Arabic Transparent" w:hAnsi="Arabic Transparent" w:cs="Arabic Transparent"/>
        </w:rPr>
        <w:t>Giles) (1997</w:t>
      </w:r>
      <w:r>
        <w:rPr>
          <w:rFonts w:ascii="Arabic Transparent" w:hAnsi="Arabic Transparent" w:cs="Arabic Transparent"/>
          <w:rtl/>
        </w:rPr>
        <w:t>)بحث شده است. اين روشها شامل بررسى و مطالعه روى تعلق مالياتى، استفاده از تفاوتهاى اصلى بين درآمد ملى و هزينه ملى (كه با قضاوتهاى ارزشى همراه است )، ملاحظه نوسانات نرخ مشاركت نيروى كار، روش نسبت نقد كيگان (1958) و ديگران، روش مبادله پولى فيگ (1979) و استفاده از «مدل ساختار متغيرهاى نامشهود» مى باشد، روش استفاده از نهاده فيزيكى (الكتريسته)يكى ديگر از روشهاى برآورد مى باشد. بيشتر اين روشها داراى نقاط ضعف هستند، كه به برخى از آنان اشاره مى شود.</w:t>
      </w:r>
    </w:p>
    <w:p w:rsidR="006E38C5" w:rsidRDefault="006E38C5" w:rsidP="006E38C5">
      <w:pPr>
        <w:pStyle w:val="NormalWeb"/>
        <w:rPr>
          <w:rFonts w:ascii="Arabic Transparent" w:hAnsi="Arabic Transparent" w:cs="Arabic Transparent"/>
          <w:rtl/>
        </w:rPr>
      </w:pPr>
      <w:r>
        <w:rPr>
          <w:rFonts w:ascii="Arabic Transparent" w:hAnsi="Arabic Transparent" w:cs="Arabic Transparent"/>
          <w:rtl/>
        </w:rPr>
        <w:t>بررسى تعلق مالياتى ،عموما اندازه اقتصاد زيرزمينى را كمتر از حد برآورد مى كند،زيرا پاسخ دهندگان مايل نيستند،حدود مشاركت خود را در فعاليتهاى غيرقانونى بطور واقعى آشكار كنند. بعلاوه در رابطه با طراحى پرسشنامه ها مسائل مهمى وجود دارد كه هميشه به دقت مورد توجه قرار نمى گيرند. روشهاى قضاوتى و روشهاى حسابهاى ملى، مدل رسمى براى اقتصاد زيرزمينى طراحى نمى‏كنند، بلكه به جاى آن،طرف هزينه يا درآمد حسابهاى ملى را به تفصيل به بخشهاى تشكيل دهنده تقسيم مى كنند و با روشهاى قضاوتى حداكثر احتمالى درآمدها و هزينه‏هاى ثبت نشده را تعيين مى‏كنند.</w:t>
      </w:r>
    </w:p>
    <w:p w:rsidR="006E38C5" w:rsidRDefault="006E38C5" w:rsidP="006E38C5">
      <w:pPr>
        <w:pStyle w:val="NormalWeb"/>
        <w:rPr>
          <w:rFonts w:ascii="Arabic Transparent" w:hAnsi="Arabic Transparent" w:cs="Arabic Transparent"/>
          <w:rtl/>
        </w:rPr>
      </w:pPr>
      <w:r>
        <w:rPr>
          <w:rFonts w:ascii="Arabic Transparent" w:hAnsi="Arabic Transparent" w:cs="Arabic Transparent"/>
          <w:rtl/>
        </w:rPr>
        <w:t>ضعفهاى اين رويكرد عبارتند از: ذهنى بودن آن و پوشش محدود آن، بويژه در اين رويكرد فعاليتهاى پنهانى را از بعد توليد ناخالص داخلى و نه از بعد پايه‏هاى مالياتى بررسى مى‏كنند. در نتيجه تخمين اقتصاد زيرزمينى نيز احتمالاً بسيار محافظه‏كارانه است. تورش مشابه اى نيز در معيارهاى اندازه گيرى اقتصاد زير زمينى كه بر تغييرات داده هاى نرخ مشاركت نيروى كار وجود دارد، زيرا تعاريف اين داده‏ها بسيار محدود است و عوامل اجتماعى، جمعيتى يا ديگر عوامل اقتصادى نيز اين تغييرات را بوجود مى آورند.</w:t>
      </w:r>
    </w:p>
    <w:p w:rsidR="006E38C5" w:rsidRDefault="006E38C5" w:rsidP="006E38C5">
      <w:pPr>
        <w:pStyle w:val="NormalWeb"/>
        <w:rPr>
          <w:rFonts w:ascii="Arabic Transparent" w:hAnsi="Arabic Transparent" w:cs="Arabic Transparent"/>
          <w:rtl/>
        </w:rPr>
      </w:pPr>
      <w:r>
        <w:rPr>
          <w:rFonts w:ascii="Arabic Transparent" w:hAnsi="Arabic Transparent" w:cs="Arabic Transparent"/>
          <w:rtl/>
        </w:rPr>
        <w:t>ضعف روش نسبت نقدينگى منتسب به كيگان (</w:t>
      </w:r>
      <w:proofErr w:type="spellStart"/>
      <w:r>
        <w:rPr>
          <w:rFonts w:ascii="Arabic Transparent" w:hAnsi="Arabic Transparent" w:cs="Arabic Transparent"/>
        </w:rPr>
        <w:t>Cagan</w:t>
      </w:r>
      <w:proofErr w:type="spellEnd"/>
      <w:r>
        <w:rPr>
          <w:rFonts w:ascii="Arabic Transparent" w:hAnsi="Arabic Transparent" w:cs="Arabic Transparent"/>
        </w:rPr>
        <w:t>) (1957</w:t>
      </w:r>
      <w:r>
        <w:rPr>
          <w:rFonts w:ascii="Arabic Transparent" w:hAnsi="Arabic Transparent" w:cs="Arabic Transparent"/>
          <w:rtl/>
        </w:rPr>
        <w:t>)مربوط به سه فرض اساسى آن است:</w:t>
      </w:r>
    </w:p>
    <w:p w:rsidR="006E38C5" w:rsidRDefault="006E38C5" w:rsidP="006E38C5">
      <w:pPr>
        <w:pStyle w:val="NormalWeb"/>
        <w:rPr>
          <w:rFonts w:ascii="Arabic Transparent" w:hAnsi="Arabic Transparent" w:cs="Arabic Transparent"/>
          <w:rtl/>
        </w:rPr>
      </w:pPr>
      <w:r>
        <w:rPr>
          <w:rFonts w:ascii="Arabic Transparent" w:hAnsi="Arabic Transparent" w:cs="Arabic Transparent"/>
          <w:rtl/>
        </w:rPr>
        <w:t>1- تمامى معاملات گزارش نشده با پول نقد انجام مى‏گيرد.</w:t>
      </w:r>
    </w:p>
    <w:p w:rsidR="006E38C5" w:rsidRDefault="006E38C5" w:rsidP="006E38C5">
      <w:pPr>
        <w:pStyle w:val="NormalWeb"/>
        <w:rPr>
          <w:rFonts w:ascii="Arabic Transparent" w:hAnsi="Arabic Transparent" w:cs="Arabic Transparent"/>
          <w:rtl/>
        </w:rPr>
      </w:pPr>
      <w:r>
        <w:rPr>
          <w:rFonts w:ascii="Arabic Transparent" w:hAnsi="Arabic Transparent" w:cs="Arabic Transparent"/>
          <w:rtl/>
        </w:rPr>
        <w:t>2- نسبت پول نقد رايج به سپرده هاى ديدارى در بخش رسمى اقتصاد، در طول زمان ثابت است.</w:t>
      </w:r>
    </w:p>
    <w:p w:rsidR="006E38C5" w:rsidRDefault="006E38C5" w:rsidP="006E38C5">
      <w:pPr>
        <w:pStyle w:val="NormalWeb"/>
        <w:rPr>
          <w:rFonts w:ascii="Arabic Transparent" w:hAnsi="Arabic Transparent" w:cs="Arabic Transparent"/>
          <w:rtl/>
        </w:rPr>
      </w:pPr>
      <w:r>
        <w:rPr>
          <w:rFonts w:ascii="Arabic Transparent" w:hAnsi="Arabic Transparent" w:cs="Arabic Transparent"/>
          <w:rtl/>
        </w:rPr>
        <w:t>3- سرعت گردش پول نقد (سرعت گردش پول در اقتصاد رسمى و اقتصاد غيررسمى) برابر است.</w:t>
      </w:r>
    </w:p>
    <w:p w:rsidR="006E38C5" w:rsidRDefault="006E38C5" w:rsidP="006E38C5">
      <w:pPr>
        <w:pStyle w:val="NormalWeb"/>
        <w:rPr>
          <w:rFonts w:ascii="Arabic Transparent" w:hAnsi="Arabic Transparent" w:cs="Arabic Transparent"/>
          <w:rtl/>
        </w:rPr>
      </w:pPr>
      <w:r>
        <w:rPr>
          <w:rFonts w:ascii="Arabic Transparent" w:hAnsi="Arabic Transparent" w:cs="Arabic Transparent"/>
          <w:rtl/>
        </w:rPr>
        <w:t>فرض دوم بويژه با توجه به معاملات الكترونيكى بانكى مشكل‏زا است. نتايج حاصل از روش نسبت خام نقدينگى مورد ترديد است و به تعريف داده‏ها حساس است. (بويژه نسبت به تعريف عرضه پول)</w:t>
      </w:r>
    </w:p>
    <w:p w:rsidR="006E38C5" w:rsidRDefault="006E38C5" w:rsidP="006E38C5">
      <w:pPr>
        <w:pStyle w:val="NormalWeb"/>
        <w:rPr>
          <w:rFonts w:ascii="Arabic Transparent" w:hAnsi="Arabic Transparent" w:cs="Arabic Transparent"/>
          <w:rtl/>
        </w:rPr>
      </w:pPr>
      <w:r>
        <w:rPr>
          <w:rFonts w:ascii="Arabic Transparent" w:hAnsi="Arabic Transparent" w:cs="Arabic Transparent"/>
          <w:rtl/>
        </w:rPr>
        <w:t>روش تانزى (</w:t>
      </w:r>
      <w:proofErr w:type="spellStart"/>
      <w:r>
        <w:rPr>
          <w:rFonts w:ascii="Arabic Transparent" w:hAnsi="Arabic Transparent" w:cs="Arabic Transparent"/>
        </w:rPr>
        <w:t>Tanzi</w:t>
      </w:r>
      <w:proofErr w:type="spellEnd"/>
      <w:r>
        <w:rPr>
          <w:rFonts w:ascii="Arabic Transparent" w:hAnsi="Arabic Transparent" w:cs="Arabic Transparent"/>
        </w:rPr>
        <w:t>) (1983</w:t>
      </w:r>
      <w:r>
        <w:rPr>
          <w:rFonts w:ascii="Arabic Transparent" w:hAnsi="Arabic Transparent" w:cs="Arabic Transparent"/>
          <w:rtl/>
        </w:rPr>
        <w:t>) فرض نسبت ثابت نقدينگى به عرضه پول را كنار مى گذارد و اين نسبت را تابعى از نرخ بهره،درآمد سرانه متغيرهاى مختلف مالياتى و نسبت دستمزدها به درآمد ملى مى‏گرداند.</w:t>
      </w:r>
    </w:p>
    <w:p w:rsidR="006E38C5" w:rsidRDefault="006E38C5" w:rsidP="006E38C5">
      <w:pPr>
        <w:pStyle w:val="NormalWeb"/>
        <w:rPr>
          <w:rFonts w:ascii="Arabic Transparent" w:hAnsi="Arabic Transparent" w:cs="Arabic Transparent"/>
          <w:rtl/>
        </w:rPr>
      </w:pPr>
      <w:r>
        <w:rPr>
          <w:rFonts w:ascii="Arabic Transparent" w:hAnsi="Arabic Transparent" w:cs="Arabic Transparent"/>
          <w:rtl/>
        </w:rPr>
        <w:t>اگر چه اين كار در قياس با روش نسبت خام نقدينگى يك پيشرفت محسوب مى‏شود، باز داراى اين فرض غير واقعى است كه تمامى معاملات زيرزمينى با پول نقد انجام مى شود و انگيزه اين كار نيز فرار مالياتى است. بعلاوه بر اين پيش فرض استوار است كه رابطه با ثباتى بين نسبت پول نقد به عرضه پول و متغيرهاى مختلفى كه در بالا نام برديم وجود دارد و شكل اين تابع نيز شناخته شده است. روش تانزى نيز بر چندين فرض ترديدآميز مبتنى است و در معرض تورش خطاى تصريح است كه اغلب به برآورد بيش از حد اندازه اقتصادزيرزمينى منجر مى‏شود.</w:t>
      </w:r>
    </w:p>
    <w:p w:rsidR="006E38C5" w:rsidRDefault="006E38C5" w:rsidP="006E38C5">
      <w:pPr>
        <w:pStyle w:val="NormalWeb"/>
        <w:rPr>
          <w:rFonts w:ascii="Arabic Transparent" w:hAnsi="Arabic Transparent" w:cs="Arabic Transparent"/>
          <w:rtl/>
        </w:rPr>
      </w:pPr>
      <w:r>
        <w:rPr>
          <w:rFonts w:ascii="Arabic Transparent" w:hAnsi="Arabic Transparent" w:cs="Arabic Transparent"/>
          <w:rtl/>
        </w:rPr>
        <w:t>باتاكاريا (</w:t>
      </w:r>
      <w:proofErr w:type="spellStart"/>
      <w:r>
        <w:rPr>
          <w:rFonts w:ascii="Arabic Transparent" w:hAnsi="Arabic Transparent" w:cs="Arabic Transparent"/>
        </w:rPr>
        <w:t>Bhattachareyya</w:t>
      </w:r>
      <w:proofErr w:type="spellEnd"/>
      <w:r>
        <w:rPr>
          <w:rFonts w:ascii="Arabic Transparent" w:hAnsi="Arabic Transparent" w:cs="Arabic Transparent"/>
        </w:rPr>
        <w:t>) (1990</w:t>
      </w:r>
      <w:r>
        <w:rPr>
          <w:rFonts w:ascii="Arabic Transparent" w:hAnsi="Arabic Transparent" w:cs="Arabic Transparent"/>
          <w:rtl/>
        </w:rPr>
        <w:t xml:space="preserve">)درمطالعه اقتصاد زيرزمينى بريتانيا رويكرد ديگرى ازروش نسبت نقدينگى رابكار مى‏گيرد.او يك معادله تقاضاى پول نقد جديد برآورد كرده است كه در آن توليد رسمى و توليد مخفى رابعنوان متغيرهاى توضيحى از يكديگر مجزا و مشخص كرده و براى توليد پنهان يك متغير جانشين در نظر گرفته است. رويكرد </w:t>
      </w:r>
      <w:r>
        <w:rPr>
          <w:rFonts w:ascii="Arabic Transparent" w:hAnsi="Arabic Transparent" w:cs="Arabic Transparent"/>
          <w:rtl/>
        </w:rPr>
        <w:lastRenderedPageBreak/>
        <w:t>او چندين مزيت دارد از جمله اين كه مى‏توان با آن نظريات فرار مالياتى را به درستى آزمون كرد. اما اين كار مستلزم تقريب يك تابع است و تنها بر يك علامت مستقيم اقتصاد پنهانى يعنى تقاضابراى پول نقد متمركز مى‏شود.</w:t>
      </w:r>
    </w:p>
    <w:p w:rsidR="006E38C5" w:rsidRDefault="006E38C5" w:rsidP="006E38C5">
      <w:pPr>
        <w:pStyle w:val="NormalWeb"/>
        <w:rPr>
          <w:rFonts w:ascii="Arabic Transparent" w:hAnsi="Arabic Transparent" w:cs="Arabic Transparent"/>
          <w:rtl/>
        </w:rPr>
      </w:pPr>
      <w:r>
        <w:rPr>
          <w:rFonts w:ascii="Arabic Transparent" w:hAnsi="Arabic Transparent" w:cs="Arabic Transparent"/>
          <w:rtl/>
        </w:rPr>
        <w:t>فيگ (1979) در روش معاملاتى خود از بسيارى از مشكلات مربوط به فرضيات قوى رويكردهاى فوق اجتناب مى كند. اما عيب آن، نياز به داده هاى فراوان براى تخمين صحيح نرخهاى بازده پول نقد و همچنين حذف معاملات مالى از پرداختهاى ناخالص است. در عمل اين امر مى تواند قابليت اعتماد اين رويكرد را براى اندازه‏گيرى اقتصاد زيرزمينى به شدت محدود كند.</w:t>
      </w:r>
    </w:p>
    <w:p w:rsidR="006E38C5" w:rsidRDefault="006E38C5" w:rsidP="006E38C5">
      <w:pPr>
        <w:pStyle w:val="NormalWeb"/>
        <w:rPr>
          <w:rFonts w:ascii="Arabic Transparent" w:hAnsi="Arabic Transparent" w:cs="Arabic Transparent"/>
          <w:rtl/>
        </w:rPr>
      </w:pPr>
      <w:r>
        <w:rPr>
          <w:rFonts w:ascii="Arabic Transparent" w:hAnsi="Arabic Transparent" w:cs="Arabic Transparent"/>
          <w:rtl/>
        </w:rPr>
        <w:t xml:space="preserve">از ميان روشهاى متعدد براى اندازه‏گيرى اقتصاد زيرزمينى روش مدل سازى متغير نامشهود </w:t>
      </w:r>
      <w:r>
        <w:rPr>
          <w:rFonts w:ascii="Arabic Transparent" w:hAnsi="Arabic Transparent" w:cs="Arabic Transparent"/>
        </w:rPr>
        <w:t>MIMIC</w:t>
      </w:r>
      <w:r>
        <w:rPr>
          <w:rFonts w:ascii="Arabic Transparent" w:hAnsi="Arabic Transparent" w:cs="Arabic Transparent"/>
          <w:rtl/>
        </w:rPr>
        <w:t xml:space="preserve"> جديدترين روش محسوب مى‏شود. يك مدل </w:t>
      </w:r>
      <w:r>
        <w:rPr>
          <w:rFonts w:ascii="Arabic Transparent" w:hAnsi="Arabic Transparent" w:cs="Arabic Transparent"/>
        </w:rPr>
        <w:t>MIMIC</w:t>
      </w:r>
      <w:r>
        <w:rPr>
          <w:rFonts w:ascii="Arabic Transparent" w:hAnsi="Arabic Transparent" w:cs="Arabic Transparent"/>
          <w:rtl/>
        </w:rPr>
        <w:t xml:space="preserve"> (چند شاخص، چند علت) يك مدل اقتصادسنجى ساختارى است كه اندازه اقتصاد زيرزمينى را يك متغير نامشهود (مشاهده نشده) تلقى مى‏كند. اين متغير نامشهود از يك طرف به مجموعه‏اى از شاخصهاى (قابل مشاهده) كه نشان دهنده تغيرات اقتصاد زيرزمينى است مربوط مى‏شود و از طرف ديگر به مجموعه‏اى از متغيرهاى علّى (مشاهده شده) مربوط مى‏شود كه معتقديم نيروى اصلى پيش برنده فعاليتهاى اصلى زيرزمينى است.</w:t>
      </w:r>
    </w:p>
    <w:p w:rsidR="006E38C5" w:rsidRDefault="006E38C5" w:rsidP="006E38C5">
      <w:pPr>
        <w:pStyle w:val="NormalWeb"/>
        <w:rPr>
          <w:rFonts w:ascii="Arabic Transparent" w:hAnsi="Arabic Transparent" w:cs="Arabic Transparent"/>
          <w:rtl/>
        </w:rPr>
      </w:pPr>
      <w:r>
        <w:rPr>
          <w:rFonts w:ascii="Arabic Transparent" w:hAnsi="Arabic Transparent" w:cs="Arabic Transparent"/>
          <w:rtl/>
        </w:rPr>
        <w:t>روش استفاده از نهاده فيزيكى (الكتريسته)با استفاده از داده‏هاى مصرف كل الكتريسته براى مقايسه فعاليت غير رسمى در هر كشورى استفاده مى كند. اين روش مبتنى بر اين فرض است كه هر فعاليت اقتصادى چه رسمى و چه غيررسمى نهاده انرژى، بويژه الكتريسته مصرف مى‏كند، در اين روش براساس يافته‏هاى تجربى فرض مى‏شود، كشش كوتاه مدت الكتريسته به توليد ناخالص داخلى يك مى‏باشد، از اين رو از اختلاف بين توليد ناخالص كل واندازه‏گيرى شده، اندازه اقتصاد پنهان برآورد مى‏شود. اشنايدر و انست (1997،2001) و كافمن و جانسون (2000) بر اين اساس حجم اقتصاد زيرزمينى را براى كشورهاى اروپاى شرقى و امريكاى لاتين گزارش نمودند. اين رويكرد با محدوديت‏هايى مواجه است از جمله اين كه ممكن است برخى از فعاليتهاى زير زمينى از الكتريسته استفاده نكنند، يا اين كه از ساير جايگزينهاى انرژى مثل ذغال‏سنگ، سوختهاى فسيلى استفاده كنند.</w:t>
      </w:r>
    </w:p>
    <w:p w:rsidR="006E38C5" w:rsidRDefault="006E38C5" w:rsidP="006E38C5">
      <w:pPr>
        <w:pStyle w:val="NormalWeb"/>
        <w:rPr>
          <w:rFonts w:ascii="Arabic Transparent" w:hAnsi="Arabic Transparent" w:cs="Arabic Transparent"/>
          <w:rtl/>
        </w:rPr>
      </w:pPr>
      <w:r>
        <w:rPr>
          <w:rFonts w:ascii="Arabic Transparent" w:hAnsi="Arabic Transparent" w:cs="Arabic Transparent"/>
          <w:rtl/>
        </w:rPr>
        <w:t>فرار مالياتى در كشورهاى در حال تو سعه بيشتر ديده مى شود ،اما ويژه اين كشورها نيست. هارت مى‏گويد: در امريكاى لاتين هركس ماليات پرداخت نمايد، احساس مى‏كند، چيزى بيش از سهم خود پرداخته است. چون غالبا هيچ كس ماليات پرداخت نمى‏كند. بيشترين ماليات در امريكاى لاتين را ماليات بر حقوق تشكيل مى‏دهد. چاگ مى‏گويد: در اين كشورهابا توجه به قدرت زياد مأمورين مالياتى،رشوه خوارى امرى قابل توجيه است.</w:t>
      </w:r>
    </w:p>
    <w:p w:rsidR="006E38C5" w:rsidRDefault="006E38C5" w:rsidP="006E38C5">
      <w:pPr>
        <w:pStyle w:val="NormalWeb"/>
        <w:rPr>
          <w:rFonts w:ascii="Arabic Transparent" w:hAnsi="Arabic Transparent" w:cs="Arabic Transparent"/>
          <w:rtl/>
        </w:rPr>
      </w:pPr>
      <w:r>
        <w:rPr>
          <w:rFonts w:ascii="Arabic Transparent" w:hAnsi="Arabic Transparent" w:cs="Arabic Transparent"/>
          <w:rtl/>
        </w:rPr>
        <w:t>در چند سال اخير استفاده از منطق فازى در اقتصاد، بويژه در ارتباط با متغيرهايى كه مبهم هستند، آغاز شده است. گيلز (2000) با استفاده از منطق فازى و نظريه مجموعه‏ها اقدام به ايجاد يك سرى زمانى اقتصاد زيرزمينى براى نيوزلند كرده است. از آن جا كه اين روش مبتنى بر يك منطق جديد با كار كردهاى بهتر است، نتايج مطمئن‏ترى ايجاد خواهد كرد.</w:t>
      </w:r>
    </w:p>
    <w:p w:rsidR="006E38C5" w:rsidRDefault="006E38C5" w:rsidP="006E38C5">
      <w:pPr>
        <w:pStyle w:val="NormalWeb"/>
        <w:rPr>
          <w:rFonts w:ascii="Arabic Transparent" w:hAnsi="Arabic Transparent" w:cs="Arabic Transparent"/>
          <w:rtl/>
        </w:rPr>
      </w:pPr>
      <w:r>
        <w:rPr>
          <w:rFonts w:ascii="Arabic Transparent" w:hAnsi="Arabic Transparent" w:cs="Arabic Transparent"/>
          <w:rtl/>
        </w:rPr>
        <w:t xml:space="preserve">اندازه گيرى اقتصاد زيرزمينى در ايران سابقه چندانى ندارد. اولين تلاش در اين موضوع به خانم فيروزه خلعت‏برى (1369) باز مى‏گردد. روش خلعت‏برى توسط معاونت بررسيهاى استراتژيك نهاد رياست جمهورى (1376)، كورش طاهرفر (1376)، احمد رضا باقرى گرمارودى (1377)، حميدرضا اشرف‏زاده (1378) دنبال گرديده است. وجه مشترك همه اين مطالعات استفاده از روش پولى است. عرب مازار (1379) با روش </w:t>
      </w:r>
      <w:r>
        <w:rPr>
          <w:rFonts w:ascii="Arabic Transparent" w:hAnsi="Arabic Transparent" w:cs="Arabic Transparent"/>
        </w:rPr>
        <w:t>MIMIC</w:t>
      </w:r>
      <w:r>
        <w:rPr>
          <w:rFonts w:ascii="Arabic Transparent" w:hAnsi="Arabic Transparent" w:cs="Arabic Transparent"/>
          <w:rtl/>
        </w:rPr>
        <w:t xml:space="preserve"> اقدام به برآورد اقتصاد سياه و تحليل آن پرداخته است. خلاصه نتايج مطالعات فوق در جدول شماره 1 گزارش شده است.</w:t>
      </w:r>
    </w:p>
    <w:p w:rsidR="006E38C5" w:rsidRDefault="006E38C5" w:rsidP="006E38C5">
      <w:pPr>
        <w:pStyle w:val="Heading3"/>
        <w:bidi/>
        <w:rPr>
          <w:rFonts w:ascii="Arabic Transparent" w:hAnsi="Arabic Transparent" w:cs="Arabic Transparent"/>
          <w:rtl/>
        </w:rPr>
      </w:pPr>
      <w:r>
        <w:rPr>
          <w:rFonts w:ascii="Arabic Transparent" w:hAnsi="Arabic Transparent" w:cs="Arabic Transparent"/>
          <w:rtl/>
        </w:rPr>
        <w:t xml:space="preserve">2- زمينه اصلى </w:t>
      </w:r>
    </w:p>
    <w:p w:rsidR="006E38C5" w:rsidRDefault="006E38C5" w:rsidP="006E38C5">
      <w:pPr>
        <w:pStyle w:val="Heading4"/>
        <w:bidi/>
        <w:rPr>
          <w:rFonts w:ascii="Arabic Transparent" w:hAnsi="Arabic Transparent" w:cs="Arabic Transparent"/>
          <w:rtl/>
        </w:rPr>
      </w:pPr>
      <w:r>
        <w:rPr>
          <w:rFonts w:ascii="Arabic Transparent" w:hAnsi="Arabic Transparent" w:cs="Arabic Transparent"/>
          <w:rtl/>
        </w:rPr>
        <w:t xml:space="preserve">1-2 زمينه تاريخى </w:t>
      </w:r>
    </w:p>
    <w:p w:rsidR="006E38C5" w:rsidRDefault="006E38C5" w:rsidP="006E38C5">
      <w:pPr>
        <w:pStyle w:val="NormalWeb"/>
        <w:rPr>
          <w:rFonts w:ascii="Arabic Transparent" w:hAnsi="Arabic Transparent" w:cs="Arabic Transparent"/>
          <w:rtl/>
        </w:rPr>
      </w:pPr>
      <w:r>
        <w:rPr>
          <w:rFonts w:ascii="Arabic Transparent" w:hAnsi="Arabic Transparent" w:cs="Arabic Transparent"/>
          <w:rtl/>
        </w:rPr>
        <w:t xml:space="preserve">نظريه مجموعه فازى ومنطق فازى: نظريه مجموعه و منطق فازى ابتدا در سال 1965، توسط لطفى عسكرزاده رياضيدان ايرانى تبار و استاد دانشگاه بركلى آمريكا مطرح شد. اين نظريه از زمان ارائه آن تاكنون، گسترش و تعميق زيادى يافته و كاربردهاى گوناگونى ـ در زمينه‏هاى مختلف علوم، بويژه كامپيوتر، تحليل سيستمى، الكترونيك، برق و </w:t>
      </w:r>
      <w:r>
        <w:rPr>
          <w:rFonts w:ascii="Arabic Transparent" w:hAnsi="Arabic Transparent" w:cs="Arabic Transparent"/>
          <w:rtl/>
        </w:rPr>
        <w:lastRenderedPageBreak/>
        <w:t>اخيرا در علوم اجتماعى و اقتصادـ پيداكرده است. نظريه مجموعه هاى فازى، نظريه‏اى براى اقدام در شرايط عدم اطمينان است. اين نظريه قادر است بسيارى از مفاهيم و متغيرها و سيستمهايى را كه از دقت كافى برخوردار نيستند و مبهم هستند، چنانچه در عالم واقع اكثرا چنين است، صورتبندى رياضى ببخشد و زمينه را براى استدلال، استنتاج، كنترل و تصميم‏گيرى در شرايط عدم‏اطمينان فراهم آورد.</w:t>
      </w:r>
    </w:p>
    <w:p w:rsidR="006E38C5" w:rsidRDefault="006E38C5" w:rsidP="006E38C5">
      <w:pPr>
        <w:pStyle w:val="Heading4"/>
        <w:bidi/>
        <w:rPr>
          <w:rFonts w:ascii="Arabic Transparent" w:hAnsi="Arabic Transparent" w:cs="Arabic Transparent"/>
          <w:rtl/>
        </w:rPr>
      </w:pPr>
      <w:r>
        <w:rPr>
          <w:rFonts w:ascii="Arabic Transparent" w:hAnsi="Arabic Transparent" w:cs="Arabic Transparent"/>
          <w:rtl/>
        </w:rPr>
        <w:t>2-2 چندتعريف</w:t>
      </w:r>
    </w:p>
    <w:p w:rsidR="006E38C5" w:rsidRDefault="006E38C5" w:rsidP="006E38C5">
      <w:pPr>
        <w:pStyle w:val="NormalWeb"/>
        <w:rPr>
          <w:rFonts w:ascii="Arabic Transparent" w:hAnsi="Arabic Transparent" w:cs="Arabic Transparent"/>
          <w:rtl/>
        </w:rPr>
      </w:pPr>
      <w:r>
        <w:rPr>
          <w:rFonts w:ascii="Arabic Transparent" w:hAnsi="Arabic Transparent" w:cs="Arabic Transparent"/>
          <w:rtl/>
        </w:rPr>
        <w:t>مجموعه‏هاى فازى به «مفاهيم (</w:t>
      </w:r>
      <w:r>
        <w:rPr>
          <w:rFonts w:ascii="Arabic Transparent" w:hAnsi="Arabic Transparent" w:cs="Arabic Transparent"/>
        </w:rPr>
        <w:t>concepts</w:t>
      </w:r>
      <w:r>
        <w:rPr>
          <w:rFonts w:ascii="Arabic Transparent" w:hAnsi="Arabic Transparent" w:cs="Arabic Transparent"/>
          <w:rtl/>
        </w:rPr>
        <w:t>)» و «متغيرهاى زبانى (</w:t>
      </w:r>
      <w:r>
        <w:rPr>
          <w:rFonts w:ascii="Arabic Transparent" w:hAnsi="Arabic Transparent" w:cs="Arabic Transparent"/>
        </w:rPr>
        <w:t>linguistic</w:t>
      </w:r>
      <w:r>
        <w:rPr>
          <w:rFonts w:ascii="Arabic Transparent" w:hAnsi="Arabic Transparent" w:cs="Arabic Transparent"/>
          <w:rtl/>
        </w:rPr>
        <w:t xml:space="preserve"> </w:t>
      </w:r>
      <w:r>
        <w:rPr>
          <w:rFonts w:ascii="Arabic Transparent" w:hAnsi="Arabic Transparent" w:cs="Arabic Transparent"/>
        </w:rPr>
        <w:t>variables</w:t>
      </w:r>
      <w:r>
        <w:rPr>
          <w:rFonts w:ascii="Arabic Transparent" w:hAnsi="Arabic Transparent" w:cs="Arabic Transparent"/>
          <w:rtl/>
        </w:rPr>
        <w:t>)» تقسيم مى‏شود. براى مثال «قيمت» يك مفهوم است و «قيمت نسبتاپائين» يك متغير زبانى است. يك مجموعه فازى از يك مجموعه منظم به يك مجموعه [0و1] نگاشت (</w:t>
      </w:r>
      <w:r>
        <w:rPr>
          <w:rFonts w:ascii="Arabic Transparent" w:hAnsi="Arabic Transparent" w:cs="Arabic Transparent"/>
        </w:rPr>
        <w:t>map</w:t>
      </w:r>
      <w:r>
        <w:rPr>
          <w:rFonts w:ascii="Arabic Transparent" w:hAnsi="Arabic Transparent" w:cs="Arabic Transparent"/>
          <w:rtl/>
        </w:rPr>
        <w:t>) مى‏كند. عضو يك مجموعه فازى «غيرمنعطف (</w:t>
      </w:r>
      <w:r>
        <w:rPr>
          <w:rFonts w:ascii="Arabic Transparent" w:hAnsi="Arabic Transparent" w:cs="Arabic Transparent"/>
        </w:rPr>
        <w:t>crisp</w:t>
      </w:r>
      <w:r>
        <w:rPr>
          <w:rFonts w:ascii="Arabic Transparent" w:hAnsi="Arabic Transparent" w:cs="Arabic Transparent"/>
          <w:rtl/>
        </w:rPr>
        <w:t>)» نيست. يك مثال از اين نگاشت به قرار زير است:</w:t>
      </w:r>
    </w:p>
    <w:p w:rsidR="006E38C5" w:rsidRDefault="006E38C5" w:rsidP="006E38C5">
      <w:pPr>
        <w:pStyle w:val="NormalWeb"/>
        <w:rPr>
          <w:rFonts w:ascii="Arabic Transparent" w:hAnsi="Arabic Transparent" w:cs="Arabic Transparent"/>
          <w:rtl/>
        </w:rPr>
      </w:pPr>
      <w:r>
        <w:rPr>
          <w:rFonts w:ascii="Arabic Transparent" w:hAnsi="Arabic Transparent" w:cs="Arabic Transparent"/>
          <w:rtl/>
        </w:rPr>
        <w:t>«قيمت يك كامپيوتر شخصى 15 هزار دلار است، اين يكى از گرانبهاترين كامپيوترهائى است كه من ديده‏ام و بنابراين قيمت آن رابه نرخ ميزان 98/0 قرار مى‏دهم.» عدد 98/0 درجه عضويت نام دارد و نبايد اين مقدار را با يك احتمال اشتباه گرفت؛ براى مثال لزومى ندارد جمع درجات عضويت يك باشد. مثال منطق فازى به اين نحو است: «اگر قيمت بالا باشد، تقاضا پائين خواهد بود.» يا «اگر مالياتها بالا باشد، فرار مالياتى بالا خواهد بود.» كاربرد گزاره‏هاى استقرائى به مفاهيم فازى، مشكلاتى در بردارد؛ يعنى تمامى قوانين معمول نظريه مجموعه‏ها برآورد نمى شود. بويژه «قانون واسطه طرد (</w:t>
      </w:r>
      <w:r>
        <w:rPr>
          <w:rFonts w:ascii="Arabic Transparent" w:hAnsi="Arabic Transparent" w:cs="Arabic Transparent"/>
        </w:rPr>
        <w:t>law</w:t>
      </w:r>
      <w:r>
        <w:rPr>
          <w:rFonts w:ascii="Arabic Transparent" w:hAnsi="Arabic Transparent" w:cs="Arabic Transparent"/>
          <w:rtl/>
        </w:rPr>
        <w:t xml:space="preserve"> </w:t>
      </w:r>
      <w:r>
        <w:rPr>
          <w:rFonts w:ascii="Arabic Transparent" w:hAnsi="Arabic Transparent" w:cs="Arabic Transparent"/>
        </w:rPr>
        <w:t>of the excluded middle</w:t>
      </w:r>
      <w:r>
        <w:rPr>
          <w:rFonts w:ascii="Arabic Transparent" w:hAnsi="Arabic Transparent" w:cs="Arabic Transparent"/>
          <w:rtl/>
        </w:rPr>
        <w:t xml:space="preserve">)» نقض مى‏شود، بنابراين بايد گروه متفاوتى از عملگرها را پذيرفت؛ براى مثال «ماكزيمم» جاى «اجتماع» را مى‏گيرد، «مينيموم» جاى «اشتراك» را مى‏گيرد و مكمل جاى خود را به كسراز عدد 1 مى دهد، آنگاه قوانين جابه جا پذيرى، شركت‏پذيرى، توزيع پذيرى، خودتوانى، جذب، واسطه‏طرد، برگشت پذيرى و قانون دمرگان برآورده خواهد شد. </w:t>
      </w:r>
    </w:p>
    <w:p w:rsidR="006E38C5" w:rsidRDefault="006E38C5" w:rsidP="006E38C5">
      <w:pPr>
        <w:pStyle w:val="NormalWeb"/>
        <w:rPr>
          <w:rFonts w:ascii="Arabic Transparent" w:hAnsi="Arabic Transparent" w:cs="Arabic Transparent"/>
          <w:rtl/>
        </w:rPr>
      </w:pPr>
      <w:r>
        <w:rPr>
          <w:rFonts w:ascii="Arabic Transparent" w:hAnsi="Arabic Transparent" w:cs="Arabic Transparent"/>
          <w:rtl/>
        </w:rPr>
        <w:t>براى مثال اگر {</w:t>
      </w:r>
      <w:r>
        <w:rPr>
          <w:rFonts w:ascii="Arabic Transparent" w:hAnsi="Arabic Transparent" w:cs="Arabic Transparent"/>
        </w:rPr>
        <w:t xml:space="preserve">U= </w:t>
      </w:r>
      <w:proofErr w:type="spellStart"/>
      <w:r>
        <w:rPr>
          <w:rFonts w:ascii="Arabic Transparent" w:hAnsi="Arabic Transparent" w:cs="Arabic Transparent"/>
        </w:rPr>
        <w:t>d,c,b,a</w:t>
      </w:r>
      <w:proofErr w:type="spellEnd"/>
      <w:r>
        <w:rPr>
          <w:rFonts w:ascii="Arabic Transparent" w:hAnsi="Arabic Transparent" w:cs="Arabic Transparent"/>
          <w:rtl/>
        </w:rPr>
        <w:t xml:space="preserve">} و مجموعه‏هاى فازى </w:t>
      </w:r>
      <w:r>
        <w:rPr>
          <w:rFonts w:ascii="Arabic Transparent" w:hAnsi="Arabic Transparent" w:cs="Arabic Transparent"/>
        </w:rPr>
        <w:t>A</w:t>
      </w:r>
      <w:r>
        <w:rPr>
          <w:rFonts w:ascii="Arabic Transparent" w:hAnsi="Arabic Transparent" w:cs="Arabic Transparent"/>
          <w:rtl/>
        </w:rPr>
        <w:t xml:space="preserve"> و </w:t>
      </w:r>
      <w:r>
        <w:rPr>
          <w:rFonts w:ascii="Arabic Transparent" w:hAnsi="Arabic Transparent" w:cs="Arabic Transparent"/>
        </w:rPr>
        <w:t>B</w:t>
      </w:r>
      <w:r>
        <w:rPr>
          <w:rFonts w:ascii="Arabic Transparent" w:hAnsi="Arabic Transparent" w:cs="Arabic Transparent"/>
          <w:rtl/>
        </w:rPr>
        <w:t xml:space="preserve"> بصورت </w:t>
      </w:r>
    </w:p>
    <w:p w:rsidR="006E38C5" w:rsidRDefault="006E38C5" w:rsidP="006E38C5">
      <w:pPr>
        <w:pStyle w:val="NormalWeb"/>
        <w:rPr>
          <w:rFonts w:ascii="Arabic Transparent" w:hAnsi="Arabic Transparent" w:cs="Arabic Transparent"/>
          <w:rtl/>
        </w:rPr>
      </w:pPr>
      <w:r>
        <w:rPr>
          <w:rFonts w:ascii="Arabic Transparent" w:hAnsi="Arabic Transparent" w:cs="Arabic Transparent"/>
          <w:noProof/>
        </w:rPr>
        <w:drawing>
          <wp:inline distT="0" distB="0" distL="0" distR="0">
            <wp:extent cx="3335655" cy="380365"/>
            <wp:effectExtent l="19050" t="0" r="0" b="0"/>
            <wp:docPr id="131" name="Picture 131" descr="http://www.hawzah.net/Per/Magazine/NM/027/NM027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hawzah.net/Per/Magazine/NM/027/NM027061.JPG"/>
                    <pic:cNvPicPr>
                      <a:picLocks noChangeAspect="1" noChangeArrowheads="1"/>
                    </pic:cNvPicPr>
                  </pic:nvPicPr>
                  <pic:blipFill>
                    <a:blip r:embed="rId4"/>
                    <a:srcRect/>
                    <a:stretch>
                      <a:fillRect/>
                    </a:stretch>
                  </pic:blipFill>
                  <pic:spPr bwMode="auto">
                    <a:xfrm>
                      <a:off x="0" y="0"/>
                      <a:ext cx="3335655" cy="380365"/>
                    </a:xfrm>
                    <a:prstGeom prst="rect">
                      <a:avLst/>
                    </a:prstGeom>
                    <a:noFill/>
                    <a:ln w="9525">
                      <a:noFill/>
                      <a:miter lim="800000"/>
                      <a:headEnd/>
                      <a:tailEnd/>
                    </a:ln>
                  </pic:spPr>
                </pic:pic>
              </a:graphicData>
            </a:graphic>
          </wp:inline>
        </w:drawing>
      </w:r>
    </w:p>
    <w:p w:rsidR="006E38C5" w:rsidRDefault="006E38C5" w:rsidP="006E38C5">
      <w:pPr>
        <w:pStyle w:val="NormalWeb"/>
        <w:rPr>
          <w:rFonts w:ascii="Arabic Transparent" w:hAnsi="Arabic Transparent" w:cs="Arabic Transparent"/>
          <w:rtl/>
        </w:rPr>
      </w:pPr>
      <w:r>
        <w:rPr>
          <w:rFonts w:ascii="Arabic Transparent" w:hAnsi="Arabic Transparent" w:cs="Arabic Transparent"/>
          <w:rtl/>
        </w:rPr>
        <w:t>متشابها {</w:t>
      </w:r>
      <w:r>
        <w:rPr>
          <w:rFonts w:ascii="Arabic Transparent" w:hAnsi="Arabic Transparent" w:cs="Arabic Transparent"/>
        </w:rPr>
        <w:t>B¨={0.1/a,0/b,0.6/c,0.9/d</w:t>
      </w:r>
      <w:r>
        <w:rPr>
          <w:rFonts w:ascii="Arabic Transparent" w:hAnsi="Arabic Transparent" w:cs="Arabic Transparent"/>
          <w:rtl/>
        </w:rPr>
        <w:t>}استفاده از مجموعه‏ها و منطق فازى در اقتصاد سنجى حالتى جذاب است؛ مثلاً اغلب داده هاى ما به ناچار مبهم است، ممكن است دانش محدودى از ماهيت روابط ميان متغيرها در اختيار داشته باشيم و ممكن است اين روابط، روابط پيچيده ذاتا غير خطى باشد.</w:t>
      </w:r>
    </w:p>
    <w:p w:rsidR="006E38C5" w:rsidRDefault="006E38C5" w:rsidP="006E38C5">
      <w:pPr>
        <w:pStyle w:val="Heading4"/>
        <w:bidi/>
        <w:rPr>
          <w:rFonts w:ascii="Arabic Transparent" w:hAnsi="Arabic Transparent" w:cs="Arabic Transparent"/>
          <w:rtl/>
        </w:rPr>
      </w:pPr>
      <w:r>
        <w:rPr>
          <w:rFonts w:ascii="Arabic Transparent" w:hAnsi="Arabic Transparent" w:cs="Arabic Transparent"/>
          <w:rtl/>
        </w:rPr>
        <w:t xml:space="preserve">3-2 روش شناسى كلى </w:t>
      </w:r>
    </w:p>
    <w:p w:rsidR="006E38C5" w:rsidRDefault="006E38C5" w:rsidP="006E38C5">
      <w:pPr>
        <w:pStyle w:val="NormalWeb"/>
        <w:rPr>
          <w:rFonts w:ascii="Arabic Transparent" w:hAnsi="Arabic Transparent" w:cs="Arabic Transparent"/>
          <w:rtl/>
        </w:rPr>
      </w:pPr>
      <w:r>
        <w:rPr>
          <w:rFonts w:ascii="Arabic Transparent" w:hAnsi="Arabic Transparent" w:cs="Arabic Transparent"/>
          <w:rtl/>
        </w:rPr>
        <w:t>هدف مقاله مشخص كردن «ابعاد» اندازه اقتصاد زيرزمينى ايران در هر سال است. روش شناسى زير بطور معمول استنتاجى نيست و از رويكرد رگرسيونى كه از شاخصها و علتها استفاده مى‏كند، متفاوت است. براى سادگى ما در كاربرد روش خود تنها دو متغير علّى استفاده مى كنيم؛ يعنى متغيرهايى كه ـ بر مبناى نظريه اقتصادى و شواهد تجربى بين المللى گسترده‏ـ معتقديم عوامل اصلى تعيين كننده فعاليتهاى زيرزمينى باشد.</w:t>
      </w:r>
      <w:r>
        <w:rPr>
          <w:rFonts w:ascii="Arabic Transparent" w:hAnsi="Arabic Transparent" w:cs="Arabic Transparent"/>
          <w:vertAlign w:val="superscript"/>
          <w:rtl/>
        </w:rPr>
        <w:t>(3)</w:t>
      </w:r>
      <w:r>
        <w:rPr>
          <w:rFonts w:ascii="Arabic Transparent" w:hAnsi="Arabic Transparent" w:cs="Arabic Transparent"/>
          <w:rtl/>
        </w:rPr>
        <w:t xml:space="preserve"> اين متغيرها عبارتند از: نرخ مؤثر مالياتى (نسبت كل ماليات به توليد ناخالص داخلى)، </w:t>
      </w:r>
      <w:r>
        <w:rPr>
          <w:rFonts w:ascii="Arabic Transparent" w:hAnsi="Arabic Transparent" w:cs="Arabic Transparent"/>
        </w:rPr>
        <w:t>TR</w:t>
      </w:r>
      <w:r>
        <w:rPr>
          <w:rFonts w:ascii="Arabic Transparent" w:hAnsi="Arabic Transparent" w:cs="Arabic Transparent"/>
          <w:rtl/>
        </w:rPr>
        <w:t>، و شاخصى از مقررات (</w:t>
      </w:r>
      <w:r>
        <w:rPr>
          <w:rFonts w:ascii="Arabic Transparent" w:hAnsi="Arabic Transparent" w:cs="Arabic Transparent"/>
        </w:rPr>
        <w:t>Regulation) (REG</w:t>
      </w:r>
      <w:r>
        <w:rPr>
          <w:rFonts w:ascii="Arabic Transparent" w:hAnsi="Arabic Transparent" w:cs="Arabic Transparent"/>
          <w:rtl/>
        </w:rPr>
        <w:t xml:space="preserve"> )</w:t>
      </w:r>
      <w:r>
        <w:rPr>
          <w:rFonts w:ascii="Arabic Transparent" w:hAnsi="Arabic Transparent" w:cs="Arabic Transparent"/>
          <w:vertAlign w:val="superscript"/>
          <w:rtl/>
        </w:rPr>
        <w:t>(4)</w:t>
      </w:r>
      <w:r>
        <w:rPr>
          <w:rFonts w:ascii="Arabic Transparent" w:hAnsi="Arabic Transparent" w:cs="Arabic Transparent"/>
          <w:rtl/>
        </w:rPr>
        <w:t xml:space="preserve"> در ايران است. داده‏هاى مورد نياز محاسبه و در ساخت ميانگينهاى متحرك خاص در تحليل ما مورد استفاده قرار مى‏گيرد.</w:t>
      </w:r>
    </w:p>
    <w:p w:rsidR="006E38C5" w:rsidRDefault="006E38C5" w:rsidP="006E38C5">
      <w:pPr>
        <w:pStyle w:val="NormalWeb"/>
        <w:rPr>
          <w:rFonts w:ascii="Arabic Transparent" w:hAnsi="Arabic Transparent" w:cs="Arabic Transparent"/>
          <w:rtl/>
        </w:rPr>
      </w:pPr>
      <w:r>
        <w:rPr>
          <w:rFonts w:ascii="Arabic Transparent" w:hAnsi="Arabic Transparent" w:cs="Arabic Transparent"/>
          <w:rtl/>
        </w:rPr>
        <w:t>انتخاب اين دو متغير (نهاده‏اى) تا حدودى ذهنى است و كارهاى تحقيقاتى ديگرى در حال انجام است كه نتايج تغيير وتعديل داده‏ها را پيدا كند. بهر حال در هر حالت انتظار همراهى مثبتى ميان متغيرهاى علّى و اندازه اقتصاد زيرزمينى را در هر حالت انتظار داريم؛ يعنى به زبان فازى «اگر مالياتها بالا و درجه مقررات در اقتصاد بالا باشد انتظار داريم حجم اقتصاد زيرزمينى نيز بالا باشد.»</w:t>
      </w:r>
    </w:p>
    <w:p w:rsidR="006E38C5" w:rsidRDefault="006E38C5" w:rsidP="006E38C5">
      <w:pPr>
        <w:pStyle w:val="NormalWeb"/>
        <w:rPr>
          <w:rFonts w:ascii="Arabic Transparent" w:hAnsi="Arabic Transparent" w:cs="Arabic Transparent"/>
          <w:rtl/>
        </w:rPr>
      </w:pPr>
      <w:r>
        <w:rPr>
          <w:rFonts w:ascii="Arabic Transparent" w:hAnsi="Arabic Transparent" w:cs="Arabic Transparent"/>
          <w:rtl/>
        </w:rPr>
        <w:lastRenderedPageBreak/>
        <w:t>نه تنها انتخاب متغير هاى علّى ذهنى است ،بلكه مشخص كردن مرزهاى مجموعه‏هاى فازى نيز ذهنى خواهد بود. مثلاً اين كه در چه نقطه‏اى مالياتها از متوسط به بالا تغيير مى‏كنند و در چه سطحى درجه مقررات از پائين به خيلى پائين تغيير مى‏كند و نظاير اين موارد. در نتيجه لازم است آزمونهاى حساسيت صورت گيرد، تا استحكام نتايج در مقابل اين انتخابها يا انتخابهاى ديگر معين گردد.</w:t>
      </w:r>
    </w:p>
    <w:p w:rsidR="006E38C5" w:rsidRDefault="006E38C5" w:rsidP="006E38C5">
      <w:pPr>
        <w:pStyle w:val="NormalWeb"/>
        <w:rPr>
          <w:rFonts w:ascii="Arabic Transparent" w:hAnsi="Arabic Transparent" w:cs="Arabic Transparent"/>
          <w:rtl/>
        </w:rPr>
      </w:pPr>
      <w:r>
        <w:rPr>
          <w:rFonts w:ascii="Arabic Transparent" w:hAnsi="Arabic Transparent" w:cs="Arabic Transparent"/>
          <w:rtl/>
        </w:rPr>
        <w:t>با اين حال مهم است توجه كنيم كه لزومى ندارد، چيزى در باره فرم تابعى رابطه فرضى ميان مالياتها و درجه مقررات از يك طرف و اندازه اقتصاد زيرزمينى از طرف ديگر فرض كنيم .بنا براين در رويكرد پايه اى كه ما انتخاب مى‏كنيم، ابتدا مجموعه هاى فازى را كه با مقادير دو متغير علّى همراه است، مشخص مى‏كنيم، آنگاه براى هر متغير در هر سال مقادير همراهى را به سطوح ذهنى منتسب و سپس قواعد تصميم‏گيرى را براى تعيين سطحى براى شاخص اقتصاد زير زمينى با استفاده از عمل‏گرهاى فازى مورد استفاده قرار مى‏دهيم. جزئيات اين رويه در بخش بعدى ارائه شده است.</w:t>
      </w:r>
    </w:p>
    <w:p w:rsidR="006E38C5" w:rsidRDefault="006E38C5" w:rsidP="006E38C5">
      <w:pPr>
        <w:pStyle w:val="Heading3"/>
        <w:bidi/>
        <w:rPr>
          <w:rFonts w:ascii="Arabic Transparent" w:hAnsi="Arabic Transparent" w:cs="Arabic Transparent"/>
          <w:rtl/>
        </w:rPr>
      </w:pPr>
      <w:r>
        <w:rPr>
          <w:rFonts w:ascii="Arabic Transparent" w:hAnsi="Arabic Transparent" w:cs="Arabic Transparent"/>
          <w:rtl/>
        </w:rPr>
        <w:t>4- جزئيات تحليلى</w:t>
      </w:r>
    </w:p>
    <w:p w:rsidR="006E38C5" w:rsidRDefault="006E38C5" w:rsidP="006E38C5">
      <w:pPr>
        <w:pStyle w:val="Heading4"/>
        <w:bidi/>
        <w:rPr>
          <w:rFonts w:ascii="Arabic Transparent" w:hAnsi="Arabic Transparent" w:cs="Arabic Transparent"/>
          <w:rtl/>
        </w:rPr>
      </w:pPr>
      <w:r>
        <w:rPr>
          <w:rFonts w:ascii="Arabic Transparent" w:hAnsi="Arabic Transparent" w:cs="Arabic Transparent"/>
          <w:rtl/>
        </w:rPr>
        <w:t>1-4 نقاط شكست داده ها وسطوح همراهى (</w:t>
      </w:r>
      <w:r>
        <w:rPr>
          <w:rFonts w:ascii="Arabic Transparent" w:hAnsi="Arabic Transparent" w:cs="Arabic Transparent"/>
        </w:rPr>
        <w:t>Break-Point</w:t>
      </w:r>
      <w:r>
        <w:rPr>
          <w:rFonts w:ascii="Arabic Transparent" w:hAnsi="Arabic Transparent" w:cs="Arabic Transparent"/>
          <w:rtl/>
        </w:rPr>
        <w:t>)</w:t>
      </w:r>
    </w:p>
    <w:p w:rsidR="006E38C5" w:rsidRDefault="006E38C5" w:rsidP="006E38C5">
      <w:pPr>
        <w:pStyle w:val="NormalWeb"/>
        <w:rPr>
          <w:rFonts w:ascii="Arabic Transparent" w:hAnsi="Arabic Transparent" w:cs="Arabic Transparent"/>
          <w:rtl/>
        </w:rPr>
      </w:pPr>
      <w:r>
        <w:rPr>
          <w:rFonts w:ascii="Arabic Transparent" w:hAnsi="Arabic Transparent" w:cs="Arabic Transparent"/>
          <w:rtl/>
        </w:rPr>
        <w:t>چندين راه ممكن براى ايجاد يك مقدار«پايه (</w:t>
      </w:r>
      <w:r>
        <w:rPr>
          <w:rFonts w:ascii="Arabic Transparent" w:hAnsi="Arabic Transparent" w:cs="Arabic Transparent"/>
        </w:rPr>
        <w:t>Bench</w:t>
      </w:r>
      <w:r>
        <w:rPr>
          <w:rFonts w:ascii="Arabic Transparent" w:hAnsi="Arabic Transparent" w:cs="Arabic Transparent"/>
          <w:rtl/>
        </w:rPr>
        <w:t xml:space="preserve">)» وجود دارد تا با آن منظور مان از «بالا»، «پائين» و غيره را مشخص كنيم. در اين جا ما يك مقدار ميانگين متحرك براى هر </w:t>
      </w:r>
      <w:r>
        <w:rPr>
          <w:rFonts w:ascii="Arabic Transparent" w:hAnsi="Arabic Transparent" w:cs="Arabic Transparent"/>
        </w:rPr>
        <w:t>TR</w:t>
      </w:r>
      <w:r>
        <w:rPr>
          <w:rFonts w:ascii="Arabic Transparent" w:hAnsi="Arabic Transparent" w:cs="Arabic Transparent"/>
          <w:rtl/>
        </w:rPr>
        <w:t>و هر</w:t>
      </w:r>
      <w:r>
        <w:rPr>
          <w:rFonts w:ascii="Arabic Transparent" w:hAnsi="Arabic Transparent" w:cs="Arabic Transparent"/>
        </w:rPr>
        <w:t>REG</w:t>
      </w:r>
      <w:r>
        <w:rPr>
          <w:rFonts w:ascii="Arabic Transparent" w:hAnsi="Arabic Transparent" w:cs="Arabic Transparent"/>
          <w:rtl/>
        </w:rPr>
        <w:t xml:space="preserve"> مورد استفاده قرار مى‏دهيم. براى اين كه اثر چرخه‏هاى احتمالى (ادوار تجارى) را از داده‏ها خارج كنيم، از ميانگين متحرك استفاده مى‏كنيم. داده‏ها را براساس ميانگين متحرك 6 ساله محاسبه مى‏كنيم، چون مى‏خواهيم، معيارى از اقتصاد زيرزمينى براى دوره 1343 تا 1378 داشته باشيم، اين كار از سال 1338 شروع مى‏شود. براى هر سرى و براى هر سال، متوسط مقدار گذشته داده‏ها، مقدار «نرمال» را به دست مى‏دهد. بنابراين در سال 1378 اين مقدار برابر است با متوسط داده‏هااز 1338 تا 1378. </w:t>
      </w:r>
    </w:p>
    <w:p w:rsidR="006E38C5" w:rsidRDefault="006E38C5" w:rsidP="006E38C5">
      <w:pPr>
        <w:pStyle w:val="NormalWeb"/>
        <w:rPr>
          <w:rFonts w:ascii="Arabic Transparent" w:hAnsi="Arabic Transparent" w:cs="Arabic Transparent"/>
          <w:rtl/>
        </w:rPr>
      </w:pPr>
      <w:r>
        <w:rPr>
          <w:rFonts w:ascii="Arabic Transparent" w:hAnsi="Arabic Transparent" w:cs="Arabic Transparent"/>
          <w:rtl/>
        </w:rPr>
        <w:t>پس از آن كه مقادير نرمال براى هر</w:t>
      </w:r>
      <w:r>
        <w:rPr>
          <w:rFonts w:ascii="Arabic Transparent" w:hAnsi="Arabic Transparent" w:cs="Arabic Transparent"/>
        </w:rPr>
        <w:t>TR</w:t>
      </w:r>
      <w:r>
        <w:rPr>
          <w:rFonts w:ascii="Arabic Transparent" w:hAnsi="Arabic Transparent" w:cs="Arabic Transparent"/>
          <w:rtl/>
        </w:rPr>
        <w:t xml:space="preserve"> و</w:t>
      </w:r>
      <w:r>
        <w:rPr>
          <w:rFonts w:ascii="Arabic Transparent" w:hAnsi="Arabic Transparent" w:cs="Arabic Transparent"/>
        </w:rPr>
        <w:t>REG</w:t>
      </w:r>
      <w:r>
        <w:rPr>
          <w:rFonts w:ascii="Arabic Transparent" w:hAnsi="Arabic Transparent" w:cs="Arabic Transparent"/>
          <w:rtl/>
        </w:rPr>
        <w:t xml:space="preserve"> در هر سال از 1343 تا 1378 معين شد، سطوح همراهى كمى اندازه‏ها را محاسبه مى‏كنيم. اين كار را با محاسبه يك يا دو انحراف معيار نمونه حول وحوش مقدار نرمال در هر دوره انجام مى‏دهيم.</w:t>
      </w:r>
    </w:p>
    <w:tbl>
      <w:tblPr>
        <w:bidiVisual/>
        <w:tblW w:w="23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496"/>
      </w:tblGrid>
      <w:tr w:rsidR="006E38C5" w:rsidTr="006E38C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00" w:type="dxa"/>
            </w:tcMar>
            <w:vAlign w:val="center"/>
            <w:hideMark/>
          </w:tcPr>
          <w:p w:rsidR="006E38C5" w:rsidRDefault="006E38C5">
            <w:pPr>
              <w:bidi/>
              <w:rPr>
                <w:rFonts w:ascii="Arabic Transparent" w:hAnsi="Arabic Transparent" w:cs="Arabic Transparent"/>
                <w:sz w:val="24"/>
                <w:szCs w:val="24"/>
              </w:rPr>
            </w:pPr>
            <w:r>
              <w:rPr>
                <w:rFonts w:ascii="Arabic Transparent" w:hAnsi="Arabic Transparent" w:cs="Arabic Transparent"/>
                <w:rtl/>
              </w:rPr>
              <w:t>توليدناخالص داخلى / ماليات= نرخ موثرماليات :</w:t>
            </w:r>
            <w:r>
              <w:rPr>
                <w:rFonts w:ascii="Arabic Transparent" w:hAnsi="Arabic Transparent" w:cs="Arabic Transparent"/>
              </w:rPr>
              <w:t>TR</w:t>
            </w:r>
          </w:p>
        </w:tc>
      </w:tr>
    </w:tbl>
    <w:p w:rsidR="006E38C5" w:rsidRDefault="006E38C5" w:rsidP="006E38C5">
      <w:pPr>
        <w:pStyle w:val="NormalWeb"/>
        <w:rPr>
          <w:rFonts w:ascii="Arabic Transparent" w:hAnsi="Arabic Transparent" w:cs="Arabic Transparent"/>
          <w:rtl/>
        </w:rPr>
      </w:pPr>
      <w:r>
        <w:rPr>
          <w:rFonts w:ascii="Arabic Transparent" w:hAnsi="Arabic Transparent" w:cs="Arabic Transparent"/>
          <w:rtl/>
        </w:rPr>
        <w:t>بسيار بالا بالا نرمال(معمولى) پائين خيلى پائين</w:t>
      </w:r>
    </w:p>
    <w:p w:rsidR="006E38C5" w:rsidRDefault="006E38C5" w:rsidP="006E38C5">
      <w:pPr>
        <w:pStyle w:val="Heading4"/>
        <w:bidi/>
        <w:rPr>
          <w:rFonts w:ascii="Arabic Transparent" w:hAnsi="Arabic Transparent" w:cs="Arabic Transparent"/>
          <w:rtl/>
        </w:rPr>
      </w:pPr>
      <w:r>
        <w:rPr>
          <w:rFonts w:ascii="Arabic Transparent" w:hAnsi="Arabic Transparent" w:cs="Arabic Transparent"/>
        </w:rPr>
        <w:t>VL L N H EX</w:t>
      </w:r>
    </w:p>
    <w:p w:rsidR="006E38C5" w:rsidRDefault="006E38C5" w:rsidP="006E38C5">
      <w:pPr>
        <w:pStyle w:val="Heading4"/>
        <w:bidi/>
        <w:rPr>
          <w:rFonts w:ascii="Arabic Transparent" w:hAnsi="Arabic Transparent" w:cs="Arabic Transparent"/>
          <w:rtl/>
        </w:rPr>
      </w:pPr>
      <w:r>
        <w:rPr>
          <w:rFonts w:ascii="Arabic Transparent" w:hAnsi="Arabic Transparent" w:cs="Arabic Transparent"/>
          <w:rtl/>
        </w:rPr>
        <w:t>2</w:t>
      </w:r>
      <w:r>
        <w:rPr>
          <w:rFonts w:ascii="Arabic Transparent" w:hAnsi="Arabic Transparent" w:cs="Arabic Transparent"/>
        </w:rPr>
        <w:t>SD +1SD</w:t>
      </w:r>
      <w:r>
        <w:rPr>
          <w:rFonts w:ascii="Arabic Transparent" w:hAnsi="Arabic Transparent" w:cs="Arabic Transparent"/>
          <w:rtl/>
        </w:rPr>
        <w:t>+ ميانگين 2</w:t>
      </w:r>
      <w:r>
        <w:rPr>
          <w:rFonts w:ascii="Arabic Transparent" w:hAnsi="Arabic Transparent" w:cs="Arabic Transparent"/>
        </w:rPr>
        <w:t>SD -1SD</w:t>
      </w:r>
      <w:r>
        <w:rPr>
          <w:rFonts w:ascii="Arabic Transparent" w:hAnsi="Arabic Transparent" w:cs="Arabic Transparent"/>
          <w:rtl/>
        </w:rPr>
        <w:t>-</w:t>
      </w:r>
    </w:p>
    <w:tbl>
      <w:tblPr>
        <w:bidiVisual/>
        <w:tblW w:w="23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496"/>
      </w:tblGrid>
      <w:tr w:rsidR="006E38C5" w:rsidTr="006E38C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00" w:type="dxa"/>
            </w:tcMar>
            <w:vAlign w:val="center"/>
            <w:hideMark/>
          </w:tcPr>
          <w:p w:rsidR="006E38C5" w:rsidRDefault="006E38C5">
            <w:pPr>
              <w:bidi/>
              <w:rPr>
                <w:rFonts w:ascii="Arabic Transparent" w:hAnsi="Arabic Transparent" w:cs="Arabic Transparent"/>
                <w:sz w:val="24"/>
                <w:szCs w:val="24"/>
              </w:rPr>
            </w:pPr>
            <w:r>
              <w:rPr>
                <w:rFonts w:ascii="Arabic Transparent" w:hAnsi="Arabic Transparent" w:cs="Arabic Transparent"/>
                <w:rtl/>
              </w:rPr>
              <w:t xml:space="preserve">شاخلص = سطح مقررات : </w:t>
            </w:r>
            <w:r>
              <w:rPr>
                <w:rFonts w:ascii="Arabic Transparent" w:hAnsi="Arabic Transparent" w:cs="Arabic Transparent"/>
              </w:rPr>
              <w:t>REG</w:t>
            </w:r>
          </w:p>
        </w:tc>
      </w:tr>
    </w:tbl>
    <w:p w:rsidR="006E38C5" w:rsidRDefault="006E38C5" w:rsidP="006E38C5">
      <w:pPr>
        <w:pStyle w:val="NormalWeb"/>
        <w:rPr>
          <w:rFonts w:ascii="Arabic Transparent" w:hAnsi="Arabic Transparent" w:cs="Arabic Transparent"/>
          <w:rtl/>
        </w:rPr>
      </w:pPr>
      <w:r>
        <w:rPr>
          <w:rFonts w:ascii="Arabic Transparent" w:hAnsi="Arabic Transparent" w:cs="Arabic Transparent"/>
          <w:rtl/>
        </w:rPr>
        <w:t>بسيار بالا بالا نرمال(معمولى) پائين خيلى پائين</w:t>
      </w:r>
    </w:p>
    <w:p w:rsidR="006E38C5" w:rsidRDefault="006E38C5" w:rsidP="006E38C5">
      <w:pPr>
        <w:pStyle w:val="Heading4"/>
        <w:bidi/>
        <w:rPr>
          <w:rFonts w:ascii="Arabic Transparent" w:hAnsi="Arabic Transparent" w:cs="Arabic Transparent"/>
          <w:rtl/>
        </w:rPr>
      </w:pPr>
      <w:r>
        <w:rPr>
          <w:rFonts w:ascii="Arabic Transparent" w:hAnsi="Arabic Transparent" w:cs="Arabic Transparent"/>
        </w:rPr>
        <w:t>V L N H EX</w:t>
      </w:r>
    </w:p>
    <w:p w:rsidR="006E38C5" w:rsidRDefault="006E38C5" w:rsidP="006E38C5">
      <w:pPr>
        <w:pStyle w:val="Heading4"/>
        <w:bidi/>
        <w:rPr>
          <w:rFonts w:ascii="Arabic Transparent" w:hAnsi="Arabic Transparent" w:cs="Arabic Transparent"/>
          <w:rtl/>
        </w:rPr>
      </w:pPr>
      <w:r>
        <w:rPr>
          <w:rFonts w:ascii="Arabic Transparent" w:hAnsi="Arabic Transparent" w:cs="Arabic Transparent"/>
          <w:rtl/>
        </w:rPr>
        <w:t>2</w:t>
      </w:r>
      <w:r>
        <w:rPr>
          <w:rFonts w:ascii="Arabic Transparent" w:hAnsi="Arabic Transparent" w:cs="Arabic Transparent"/>
        </w:rPr>
        <w:t>SD +1SD</w:t>
      </w:r>
      <w:r>
        <w:rPr>
          <w:rFonts w:ascii="Arabic Transparent" w:hAnsi="Arabic Transparent" w:cs="Arabic Transparent"/>
          <w:rtl/>
        </w:rPr>
        <w:t>+ ميانگين 2</w:t>
      </w:r>
      <w:r>
        <w:rPr>
          <w:rFonts w:ascii="Arabic Transparent" w:hAnsi="Arabic Transparent" w:cs="Arabic Transparent"/>
        </w:rPr>
        <w:t>SD -1SD</w:t>
      </w:r>
      <w:r>
        <w:rPr>
          <w:rFonts w:ascii="Arabic Transparent" w:hAnsi="Arabic Transparent" w:cs="Arabic Transparent"/>
          <w:rtl/>
        </w:rPr>
        <w:t>-</w:t>
      </w:r>
    </w:p>
    <w:p w:rsidR="006E38C5" w:rsidRDefault="006E38C5" w:rsidP="006E38C5">
      <w:pPr>
        <w:pStyle w:val="NormalWeb"/>
        <w:rPr>
          <w:rFonts w:ascii="Arabic Transparent" w:hAnsi="Arabic Transparent" w:cs="Arabic Transparent"/>
          <w:rtl/>
        </w:rPr>
      </w:pPr>
      <w:r>
        <w:rPr>
          <w:rFonts w:ascii="Arabic Transparent" w:hAnsi="Arabic Transparent" w:cs="Arabic Transparent"/>
          <w:rtl/>
        </w:rPr>
        <w:t>به اين تربيت دو مجموعه هر كدام با 5 عدد كه مربوط به</w:t>
      </w:r>
      <w:r>
        <w:rPr>
          <w:rFonts w:ascii="Arabic Transparent" w:hAnsi="Arabic Transparent" w:cs="Arabic Transparent"/>
        </w:rPr>
        <w:t>TR</w:t>
      </w:r>
      <w:r>
        <w:rPr>
          <w:rFonts w:ascii="Arabic Transparent" w:hAnsi="Arabic Transparent" w:cs="Arabic Transparent"/>
          <w:rtl/>
        </w:rPr>
        <w:t xml:space="preserve"> و </w:t>
      </w:r>
      <w:r>
        <w:rPr>
          <w:rFonts w:ascii="Arabic Transparent" w:hAnsi="Arabic Transparent" w:cs="Arabic Transparent"/>
        </w:rPr>
        <w:t>REG</w:t>
      </w:r>
      <w:r>
        <w:rPr>
          <w:rFonts w:ascii="Arabic Transparent" w:hAnsi="Arabic Transparent" w:cs="Arabic Transparent"/>
          <w:rtl/>
        </w:rPr>
        <w:t xml:space="preserve"> است ـ براى هر سال مورد بحث ـ ايجاد مى‏شود، ما اين دو مجموعه را در ادامه بحث ،نقاط شكست مى ناميم. براى مثال در سال 1375 نقاط شكست براى </w:t>
      </w:r>
      <w:r>
        <w:rPr>
          <w:rFonts w:ascii="Arabic Transparent" w:hAnsi="Arabic Transparent" w:cs="Arabic Transparent"/>
        </w:rPr>
        <w:t>TR</w:t>
      </w:r>
      <w:r>
        <w:rPr>
          <w:rFonts w:ascii="Arabic Transparent" w:hAnsi="Arabic Transparent" w:cs="Arabic Transparent"/>
          <w:rtl/>
        </w:rPr>
        <w:t xml:space="preserve">عبارتند از: 49737301/6، 7020198/5، «906666/4» ،111313495/4، 315960323/3 مقدارى كه در گيومه </w:t>
      </w:r>
      <w:r>
        <w:rPr>
          <w:rFonts w:ascii="Arabic Transparent" w:hAnsi="Arabic Transparent" w:cs="Arabic Transparent"/>
          <w:rtl/>
        </w:rPr>
        <w:lastRenderedPageBreak/>
        <w:t xml:space="preserve">نشان داده‏ايم يعنى 906666/4 ميانگين </w:t>
      </w:r>
      <w:r>
        <w:rPr>
          <w:rFonts w:ascii="Arabic Transparent" w:hAnsi="Arabic Transparent" w:cs="Arabic Transparent"/>
        </w:rPr>
        <w:t>TR</w:t>
      </w:r>
      <w:r>
        <w:rPr>
          <w:rFonts w:ascii="Arabic Transparent" w:hAnsi="Arabic Transparent" w:cs="Arabic Transparent"/>
          <w:rtl/>
        </w:rPr>
        <w:t xml:space="preserve"> در دوره 1370 تا 1375 است. به همين ترتيب مقدار 315960323/3 عبارت است از ميانگين فوق منهاى دو، زمان انحراف معيار در اين نمونه (متحرك) خاص است.</w:t>
      </w:r>
    </w:p>
    <w:p w:rsidR="006E38C5" w:rsidRDefault="006E38C5" w:rsidP="006E38C5">
      <w:pPr>
        <w:pStyle w:val="NormalWeb"/>
        <w:rPr>
          <w:rFonts w:ascii="Arabic Transparent" w:hAnsi="Arabic Transparent" w:cs="Arabic Transparent"/>
          <w:rtl/>
        </w:rPr>
      </w:pPr>
      <w:r>
        <w:rPr>
          <w:rFonts w:ascii="Arabic Transparent" w:hAnsi="Arabic Transparent" w:cs="Arabic Transparent"/>
          <w:rtl/>
        </w:rPr>
        <w:t xml:space="preserve">سپس مقادير داده‏ها را با رده‏هاى اندازه‏ها مرتبط مى‏سازيم، براى مثال داده‏هاى فوق براى سال 1375 را در نظر بگيريد. مقدار واقعى داده براى </w:t>
      </w:r>
      <w:r>
        <w:rPr>
          <w:rFonts w:ascii="Arabic Transparent" w:hAnsi="Arabic Transparent" w:cs="Arabic Transparent"/>
        </w:rPr>
        <w:t>TR</w:t>
      </w:r>
      <w:r>
        <w:rPr>
          <w:rFonts w:ascii="Arabic Transparent" w:hAnsi="Arabic Transparent" w:cs="Arabic Transparent"/>
          <w:rtl/>
        </w:rPr>
        <w:t xml:space="preserve"> در اين سال برابر است با 28/5 كه آن را جايى ميان «معمولى» و «بالا» در آن سال قرار مى‏دهد. منطق فازى يا «چند ارزشى» از مجموعه‏هاى منعطف كه اعضاء آن بوسيله سطوح يا درجات همراهى، نه بوسيله وضعيت «عضويت همه يا هيچ»، تعريف مى شوند. بنابراين يك مقدار </w:t>
      </w:r>
      <w:r>
        <w:rPr>
          <w:rFonts w:ascii="Arabic Transparent" w:hAnsi="Arabic Transparent" w:cs="Arabic Transparent"/>
        </w:rPr>
        <w:t>TR</w:t>
      </w:r>
      <w:r>
        <w:rPr>
          <w:rFonts w:ascii="Arabic Transparent" w:hAnsi="Arabic Transparent" w:cs="Arabic Transparent"/>
          <w:rtl/>
        </w:rPr>
        <w:t xml:space="preserve"> يا </w:t>
      </w:r>
      <w:r>
        <w:rPr>
          <w:rFonts w:ascii="Arabic Transparent" w:hAnsi="Arabic Transparent" w:cs="Arabic Transparent"/>
        </w:rPr>
        <w:t>REG</w:t>
      </w:r>
      <w:r>
        <w:rPr>
          <w:rFonts w:ascii="Arabic Transparent" w:hAnsi="Arabic Transparent" w:cs="Arabic Transparent"/>
          <w:rtl/>
        </w:rPr>
        <w:t>مى‏تواند با بيش از يك مجموعه (يا در مثال ما سطح نسبى مقادير) همراه گردد.</w:t>
      </w:r>
    </w:p>
    <w:p w:rsidR="006E38C5" w:rsidRDefault="006E38C5" w:rsidP="006E38C5">
      <w:pPr>
        <w:pStyle w:val="NormalWeb"/>
        <w:rPr>
          <w:rFonts w:ascii="Arabic Transparent" w:hAnsi="Arabic Transparent" w:cs="Arabic Transparent"/>
          <w:rtl/>
        </w:rPr>
      </w:pPr>
      <w:r>
        <w:rPr>
          <w:rFonts w:ascii="Arabic Transparent" w:hAnsi="Arabic Transparent" w:cs="Arabic Transparent"/>
          <w:rtl/>
        </w:rPr>
        <w:t xml:space="preserve">در مثال فوق، مقدار </w:t>
      </w:r>
      <w:r>
        <w:rPr>
          <w:rFonts w:ascii="Arabic Transparent" w:hAnsi="Arabic Transparent" w:cs="Arabic Transparent"/>
        </w:rPr>
        <w:t>TR</w:t>
      </w:r>
      <w:r>
        <w:rPr>
          <w:rFonts w:ascii="Arabic Transparent" w:hAnsi="Arabic Transparent" w:cs="Arabic Transparent"/>
          <w:rtl/>
        </w:rPr>
        <w:t xml:space="preserve"> در سال 1375 هم «معمولى» است و هم «بالا» اما اين كه چگونه «معمولى» و چطور «بالا» است، به محل آن، نسبت به نقاط شكست مورد بحث، مربوط مى‏شود. در منطق فازى برقرارى سطوح همراهى بوسيله «توابع عضويت» انجام مى‏پذيرد. اين توابع عضويت مى‏تواند، بر اساس باورهاى قبلى اشكال مختلفى داشته باشد. بنابراين عنصر ديگرى از ذهنى بودن در تحليل وارد مى شود. در اين جا از معيار خطى ساده يا معيار فاصله براى نسبت دادن سطوح همراهى استفاده مى‏كنيم، براى مثال مقدار </w:t>
      </w:r>
      <w:r>
        <w:rPr>
          <w:rFonts w:ascii="Arabic Transparent" w:hAnsi="Arabic Transparent" w:cs="Arabic Transparent"/>
        </w:rPr>
        <w:t>TR</w:t>
      </w:r>
      <w:r>
        <w:rPr>
          <w:rFonts w:ascii="Arabic Transparent" w:hAnsi="Arabic Transparent" w:cs="Arabic Transparent"/>
          <w:rtl/>
        </w:rPr>
        <w:t xml:space="preserve"> در 1375 بيشتر به معمولى نزديك است تا بالا، و انتسابى هارمونيك مورد استفاده قرار مى‏گيرد. به بيان ديگر وزنها بطور معكوس به فاصله مرتبط مى‏گردد. اين كار از طريق تابع عضويت (انحراف معيار/^</w:t>
      </w:r>
      <w:proofErr w:type="spellStart"/>
      <w:r>
        <w:rPr>
          <w:rFonts w:ascii="Arabic Transparent" w:hAnsi="Arabic Transparent" w:cs="Arabic Transparent"/>
        </w:rPr>
        <w:t>i</w:t>
      </w:r>
      <w:proofErr w:type="spellEnd"/>
      <w:r>
        <w:rPr>
          <w:rFonts w:ascii="Arabic Transparent" w:hAnsi="Arabic Transparent" w:cs="Arabic Transparent"/>
        </w:rPr>
        <w:t>=1,2 ,</w:t>
      </w:r>
      <w:proofErr w:type="spellStart"/>
      <w:r>
        <w:rPr>
          <w:rFonts w:ascii="Arabic Transparent" w:hAnsi="Arabic Transparent" w:cs="Arabic Transparent"/>
        </w:rPr>
        <w:t>ui</w:t>
      </w:r>
      <w:proofErr w:type="spellEnd"/>
      <w:r>
        <w:rPr>
          <w:rFonts w:ascii="Arabic Transparent" w:hAnsi="Arabic Transparent" w:cs="Arabic Transparent"/>
        </w:rPr>
        <w:t>=</w:t>
      </w:r>
      <w:proofErr w:type="spellStart"/>
      <w:r>
        <w:rPr>
          <w:rFonts w:ascii="Arabic Transparent" w:hAnsi="Arabic Transparent" w:cs="Arabic Transparent"/>
        </w:rPr>
        <w:t>Xj</w:t>
      </w:r>
      <w:proofErr w:type="spellEnd"/>
      <w:r>
        <w:rPr>
          <w:rFonts w:ascii="Arabic Transparent" w:hAnsi="Arabic Transparent" w:cs="Arabic Transparent"/>
        </w:rPr>
        <w:t>-X</w:t>
      </w:r>
      <w:r>
        <w:rPr>
          <w:rFonts w:ascii="Arabic Transparent" w:hAnsi="Arabic Transparent" w:cs="Arabic Transparent"/>
          <w:rtl/>
        </w:rPr>
        <w:t xml:space="preserve">) صورت مى‏گيرد. كه در آن </w:t>
      </w:r>
      <w:proofErr w:type="spellStart"/>
      <w:r>
        <w:rPr>
          <w:rFonts w:ascii="Arabic Transparent" w:hAnsi="Arabic Transparent" w:cs="Arabic Transparent"/>
        </w:rPr>
        <w:t>i</w:t>
      </w:r>
      <w:proofErr w:type="spellEnd"/>
      <w:r>
        <w:rPr>
          <w:rFonts w:ascii="Arabic Transparent" w:hAnsi="Arabic Transparent" w:cs="Arabic Transparent"/>
        </w:rPr>
        <w:t xml:space="preserve"> m</w:t>
      </w:r>
      <w:r>
        <w:rPr>
          <w:rFonts w:ascii="Arabic Transparent" w:hAnsi="Arabic Transparent" w:cs="Arabic Transparent"/>
          <w:rtl/>
        </w:rPr>
        <w:t>تابع عضويت فازى براى سطح همراهى اول، ×</w:t>
      </w:r>
      <w:r>
        <w:rPr>
          <w:rFonts w:ascii="Arabic Transparent" w:hAnsi="Arabic Transparent" w:cs="Arabic Transparent"/>
        </w:rPr>
        <w:t>j</w:t>
      </w:r>
      <w:r>
        <w:rPr>
          <w:rFonts w:ascii="Arabic Transparent" w:hAnsi="Arabic Transparent" w:cs="Arabic Transparent"/>
          <w:rtl/>
        </w:rPr>
        <w:t xml:space="preserve"> سطح همراهى دوم،كه مقدار واقعى متغير ×مورد بررسى، بين اين دو قرار مى گيرد.</w:t>
      </w:r>
    </w:p>
    <w:p w:rsidR="006E38C5" w:rsidRDefault="006E38C5" w:rsidP="006E38C5">
      <w:pPr>
        <w:pStyle w:val="Heading4"/>
        <w:bidi/>
        <w:rPr>
          <w:rFonts w:ascii="Arabic Transparent" w:hAnsi="Arabic Transparent" w:cs="Arabic Transparent"/>
          <w:rtl/>
        </w:rPr>
      </w:pPr>
      <w:r>
        <w:rPr>
          <w:rFonts w:ascii="Arabic Transparent" w:hAnsi="Arabic Transparent" w:cs="Arabic Transparent"/>
        </w:rPr>
        <w:t>VL L N H EX</w:t>
      </w:r>
    </w:p>
    <w:p w:rsidR="006E38C5" w:rsidRDefault="006E38C5" w:rsidP="006E38C5">
      <w:pPr>
        <w:pStyle w:val="NormalWeb"/>
        <w:rPr>
          <w:rFonts w:ascii="Arabic Transparent" w:hAnsi="Arabic Transparent" w:cs="Arabic Transparent"/>
          <w:rtl/>
        </w:rPr>
      </w:pPr>
      <w:r>
        <w:rPr>
          <w:rFonts w:ascii="Arabic Transparent" w:hAnsi="Arabic Transparent" w:cs="Arabic Transparent"/>
          <w:rtl/>
        </w:rPr>
        <w:t>000/0 4693932/0 53060679/0 000/0 000/0</w:t>
      </w:r>
    </w:p>
    <w:p w:rsidR="006E38C5" w:rsidRDefault="006E38C5" w:rsidP="006E38C5">
      <w:pPr>
        <w:pStyle w:val="NormalWeb"/>
        <w:rPr>
          <w:rFonts w:ascii="Arabic Transparent" w:hAnsi="Arabic Transparent" w:cs="Arabic Transparent"/>
          <w:rtl/>
        </w:rPr>
      </w:pPr>
      <w:r>
        <w:rPr>
          <w:rFonts w:ascii="Arabic Transparent" w:hAnsi="Arabic Transparent" w:cs="Arabic Transparent"/>
          <w:rtl/>
        </w:rPr>
        <w:t xml:space="preserve">تابع عضويت فازى از نوعى كه در اين جا استفاده كرديم مشاهدات را حداكثر به دو سطح مقدار منتسب مى كند،كه مجموع وزنهاى آن برابريك است. به مشاهدات حدى </w:t>
      </w:r>
      <w:r>
        <w:rPr>
          <w:rFonts w:ascii="Arabic Transparent" w:hAnsi="Arabic Transparent" w:cs="Arabic Transparent"/>
        </w:rPr>
        <w:t>E</w:t>
      </w:r>
      <w:r>
        <w:rPr>
          <w:rFonts w:ascii="Arabic Transparent" w:hAnsi="Arabic Transparent" w:cs="Arabic Transparent"/>
          <w:rtl/>
        </w:rPr>
        <w:t>× كه پائين‏ترين نقطه شكست يا بالاترين نقطه شكست قرار مى‏گيرند، مقدار حدى همراهى برابر با سطح مرز خارجى مربوطه منتسب مى‏شود. مقدار يك كه با هر سطح ويژه‏اى منتسب مى‏شود، نشان دهنده عضويت كامل است؛ در حالى كه مقدار صفر عدم عضويت محض را نشان مى‏دهد.</w:t>
      </w:r>
    </w:p>
    <w:p w:rsidR="006E38C5" w:rsidRDefault="006E38C5" w:rsidP="006E38C5">
      <w:pPr>
        <w:pStyle w:val="Heading4"/>
        <w:bidi/>
        <w:rPr>
          <w:rFonts w:ascii="Arabic Transparent" w:hAnsi="Arabic Transparent" w:cs="Arabic Transparent"/>
          <w:rtl/>
        </w:rPr>
      </w:pPr>
      <w:r>
        <w:rPr>
          <w:rFonts w:ascii="Arabic Transparent" w:hAnsi="Arabic Transparent" w:cs="Arabic Transparent"/>
          <w:rtl/>
        </w:rPr>
        <w:t>2-4 سطح همراهى و قواعد تصميم (</w:t>
      </w:r>
      <w:r>
        <w:rPr>
          <w:rFonts w:ascii="Arabic Transparent" w:hAnsi="Arabic Transparent" w:cs="Arabic Transparent"/>
        </w:rPr>
        <w:t>Decision Rules</w:t>
      </w:r>
      <w:r>
        <w:rPr>
          <w:rFonts w:ascii="Arabic Transparent" w:hAnsi="Arabic Transparent" w:cs="Arabic Transparent"/>
          <w:rtl/>
        </w:rPr>
        <w:t>)</w:t>
      </w:r>
    </w:p>
    <w:p w:rsidR="006E38C5" w:rsidRDefault="006E38C5" w:rsidP="006E38C5">
      <w:pPr>
        <w:pStyle w:val="NormalWeb"/>
        <w:rPr>
          <w:rFonts w:ascii="Arabic Transparent" w:hAnsi="Arabic Transparent" w:cs="Arabic Transparent"/>
          <w:rtl/>
        </w:rPr>
      </w:pPr>
      <w:r>
        <w:rPr>
          <w:rFonts w:ascii="Arabic Transparent" w:hAnsi="Arabic Transparent" w:cs="Arabic Transparent"/>
          <w:rtl/>
        </w:rPr>
        <w:t>سپس، قواعد تصميم‏گيرى را بوجود مى‏آوريم كه معين مى‏كند، چگونه سطوح ويژه همراهى‏براى هر</w:t>
      </w:r>
      <w:r>
        <w:rPr>
          <w:rFonts w:ascii="Arabic Transparent" w:hAnsi="Arabic Transparent" w:cs="Arabic Transparent"/>
        </w:rPr>
        <w:t>TR</w:t>
      </w:r>
      <w:r>
        <w:rPr>
          <w:rFonts w:ascii="Arabic Transparent" w:hAnsi="Arabic Transparent" w:cs="Arabic Transparent"/>
          <w:rtl/>
        </w:rPr>
        <w:t xml:space="preserve"> و </w:t>
      </w:r>
      <w:r>
        <w:rPr>
          <w:rFonts w:ascii="Arabic Transparent" w:hAnsi="Arabic Transparent" w:cs="Arabic Transparent"/>
        </w:rPr>
        <w:t>REG</w:t>
      </w:r>
      <w:r>
        <w:rPr>
          <w:rFonts w:ascii="Arabic Transparent" w:hAnsi="Arabic Transparent" w:cs="Arabic Transparent"/>
          <w:rtl/>
        </w:rPr>
        <w:t>با يكديگر تركيب مى‏شود تا سطوح همراهى براى اقتصاد زيرزمينى ايجاد گردد. اين قواعد بنا به ضرورت دلخواهانه است، اما روشى كه با آن منتسب مى‏كنيم را مى‏توان در جدول زير مشاهده كرد.</w:t>
      </w:r>
    </w:p>
    <w:p w:rsidR="006E38C5" w:rsidRDefault="006E38C5" w:rsidP="006E38C5">
      <w:pPr>
        <w:pStyle w:val="NormalWeb"/>
        <w:rPr>
          <w:rFonts w:ascii="Arabic Transparent" w:hAnsi="Arabic Transparent" w:cs="Arabic Transparent"/>
          <w:rtl/>
        </w:rPr>
      </w:pPr>
      <w:r>
        <w:rPr>
          <w:rFonts w:ascii="Arabic Transparent" w:hAnsi="Arabic Transparent" w:cs="Arabic Transparent"/>
          <w:noProof/>
        </w:rPr>
        <w:lastRenderedPageBreak/>
        <w:drawing>
          <wp:inline distT="0" distB="0" distL="0" distR="0">
            <wp:extent cx="4286885" cy="6078855"/>
            <wp:effectExtent l="19050" t="0" r="0" b="0"/>
            <wp:docPr id="132" name="Picture 132" descr="http://www.hawzah.net/Per/Magazine/NM/027/NM027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hawzah.net/Per/Magazine/NM/027/NM027065.jpg"/>
                    <pic:cNvPicPr>
                      <a:picLocks noChangeAspect="1" noChangeArrowheads="1"/>
                    </pic:cNvPicPr>
                  </pic:nvPicPr>
                  <pic:blipFill>
                    <a:blip r:embed="rId5"/>
                    <a:srcRect/>
                    <a:stretch>
                      <a:fillRect/>
                    </a:stretch>
                  </pic:blipFill>
                  <pic:spPr bwMode="auto">
                    <a:xfrm>
                      <a:off x="0" y="0"/>
                      <a:ext cx="4286885" cy="6078855"/>
                    </a:xfrm>
                    <a:prstGeom prst="rect">
                      <a:avLst/>
                    </a:prstGeom>
                    <a:noFill/>
                    <a:ln w="9525">
                      <a:noFill/>
                      <a:miter lim="800000"/>
                      <a:headEnd/>
                      <a:tailEnd/>
                    </a:ln>
                  </pic:spPr>
                </pic:pic>
              </a:graphicData>
            </a:graphic>
          </wp:inline>
        </w:drawing>
      </w:r>
    </w:p>
    <w:p w:rsidR="006E38C5" w:rsidRDefault="006E38C5" w:rsidP="006E38C5">
      <w:pPr>
        <w:pStyle w:val="NormalWeb"/>
        <w:rPr>
          <w:rFonts w:ascii="Arabic Transparent" w:hAnsi="Arabic Transparent" w:cs="Arabic Transparent"/>
          <w:rtl/>
        </w:rPr>
      </w:pPr>
      <w:r>
        <w:rPr>
          <w:rFonts w:ascii="Arabic Transparent" w:hAnsi="Arabic Transparent" w:cs="Arabic Transparent"/>
        </w:rPr>
        <w:t>E</w:t>
      </w:r>
      <w:r>
        <w:rPr>
          <w:rFonts w:ascii="Arabic Transparent" w:hAnsi="Arabic Transparent" w:cs="Arabic Transparent"/>
          <w:rtl/>
        </w:rPr>
        <w:t xml:space="preserve"> = خيلى‏بالا، </w:t>
      </w:r>
      <w:r>
        <w:rPr>
          <w:rFonts w:ascii="Arabic Transparent" w:hAnsi="Arabic Transparent" w:cs="Arabic Transparent"/>
        </w:rPr>
        <w:t>H</w:t>
      </w:r>
      <w:r>
        <w:rPr>
          <w:rFonts w:ascii="Arabic Transparent" w:hAnsi="Arabic Transparent" w:cs="Arabic Transparent"/>
          <w:rtl/>
        </w:rPr>
        <w:t xml:space="preserve">=بالا، </w:t>
      </w:r>
      <w:r>
        <w:rPr>
          <w:rFonts w:ascii="Arabic Transparent" w:hAnsi="Arabic Transparent" w:cs="Arabic Transparent"/>
        </w:rPr>
        <w:t>N</w:t>
      </w:r>
      <w:r>
        <w:rPr>
          <w:rFonts w:ascii="Arabic Transparent" w:hAnsi="Arabic Transparent" w:cs="Arabic Transparent"/>
          <w:rtl/>
        </w:rPr>
        <w:t xml:space="preserve"> =</w:t>
      </w:r>
      <w:proofErr w:type="gramStart"/>
      <w:r>
        <w:rPr>
          <w:rFonts w:ascii="Arabic Transparent" w:hAnsi="Arabic Transparent" w:cs="Arabic Transparent"/>
          <w:rtl/>
        </w:rPr>
        <w:t>نرمال(</w:t>
      </w:r>
      <w:proofErr w:type="gramEnd"/>
      <w:r>
        <w:rPr>
          <w:rFonts w:ascii="Arabic Transparent" w:hAnsi="Arabic Transparent" w:cs="Arabic Transparent"/>
          <w:rtl/>
        </w:rPr>
        <w:t xml:space="preserve">معمولى)، </w:t>
      </w:r>
      <w:r>
        <w:rPr>
          <w:rFonts w:ascii="Arabic Transparent" w:hAnsi="Arabic Transparent" w:cs="Arabic Transparent"/>
        </w:rPr>
        <w:t>L</w:t>
      </w:r>
      <w:r>
        <w:rPr>
          <w:rFonts w:ascii="Arabic Transparent" w:hAnsi="Arabic Transparent" w:cs="Arabic Transparent"/>
          <w:rtl/>
        </w:rPr>
        <w:t xml:space="preserve"> =پائين، </w:t>
      </w:r>
      <w:r>
        <w:rPr>
          <w:rFonts w:ascii="Arabic Transparent" w:hAnsi="Arabic Transparent" w:cs="Arabic Transparent"/>
        </w:rPr>
        <w:t>VL</w:t>
      </w:r>
      <w:r>
        <w:rPr>
          <w:rFonts w:ascii="Arabic Transparent" w:hAnsi="Arabic Transparent" w:cs="Arabic Transparent"/>
          <w:rtl/>
        </w:rPr>
        <w:t xml:space="preserve">= خيلى پائين </w:t>
      </w:r>
    </w:p>
    <w:p w:rsidR="006E38C5" w:rsidRDefault="006E38C5" w:rsidP="006E38C5">
      <w:pPr>
        <w:pStyle w:val="NormalWeb"/>
        <w:rPr>
          <w:rFonts w:ascii="Arabic Transparent" w:hAnsi="Arabic Transparent" w:cs="Arabic Transparent"/>
          <w:rtl/>
        </w:rPr>
      </w:pPr>
      <w:r>
        <w:rPr>
          <w:rFonts w:ascii="Arabic Transparent" w:hAnsi="Arabic Transparent" w:cs="Arabic Transparent"/>
        </w:rPr>
        <w:t>VB</w:t>
      </w:r>
      <w:r>
        <w:rPr>
          <w:rFonts w:ascii="Arabic Transparent" w:hAnsi="Arabic Transparent" w:cs="Arabic Transparent"/>
          <w:rtl/>
        </w:rPr>
        <w:t xml:space="preserve"> = خيلى بزرگ، </w:t>
      </w:r>
      <w:r>
        <w:rPr>
          <w:rFonts w:ascii="Arabic Transparent" w:hAnsi="Arabic Transparent" w:cs="Arabic Transparent"/>
        </w:rPr>
        <w:t>B</w:t>
      </w:r>
      <w:r>
        <w:rPr>
          <w:rFonts w:ascii="Arabic Transparent" w:hAnsi="Arabic Transparent" w:cs="Arabic Transparent"/>
          <w:rtl/>
        </w:rPr>
        <w:t xml:space="preserve"> =بزرگ ،</w:t>
      </w:r>
      <w:r>
        <w:rPr>
          <w:rFonts w:ascii="Arabic Transparent" w:hAnsi="Arabic Transparent" w:cs="Arabic Transparent"/>
        </w:rPr>
        <w:t>A</w:t>
      </w:r>
      <w:r>
        <w:rPr>
          <w:rFonts w:ascii="Arabic Transparent" w:hAnsi="Arabic Transparent" w:cs="Arabic Transparent"/>
          <w:rtl/>
        </w:rPr>
        <w:t xml:space="preserve"> =متوسط، </w:t>
      </w:r>
      <w:r>
        <w:rPr>
          <w:rFonts w:ascii="Arabic Transparent" w:hAnsi="Arabic Transparent" w:cs="Arabic Transparent"/>
        </w:rPr>
        <w:t>S</w:t>
      </w:r>
      <w:r>
        <w:rPr>
          <w:rFonts w:ascii="Arabic Transparent" w:hAnsi="Arabic Transparent" w:cs="Arabic Transparent"/>
          <w:rtl/>
        </w:rPr>
        <w:t>=كوچك،</w:t>
      </w:r>
      <w:r>
        <w:rPr>
          <w:rFonts w:ascii="Arabic Transparent" w:hAnsi="Arabic Transparent" w:cs="Arabic Transparent"/>
        </w:rPr>
        <w:t>VS</w:t>
      </w:r>
      <w:r>
        <w:rPr>
          <w:rFonts w:ascii="Arabic Transparent" w:hAnsi="Arabic Transparent" w:cs="Arabic Transparent"/>
          <w:rtl/>
        </w:rPr>
        <w:t xml:space="preserve"> =خيلى‏كوچك </w:t>
      </w:r>
    </w:p>
    <w:p w:rsidR="006E38C5" w:rsidRDefault="006E38C5" w:rsidP="006E38C5">
      <w:pPr>
        <w:pStyle w:val="NormalWeb"/>
        <w:rPr>
          <w:rFonts w:ascii="Arabic Transparent" w:hAnsi="Arabic Transparent" w:cs="Arabic Transparent"/>
          <w:rtl/>
        </w:rPr>
      </w:pPr>
      <w:r>
        <w:rPr>
          <w:rFonts w:ascii="Arabic Transparent" w:hAnsi="Arabic Transparent" w:cs="Arabic Transparent"/>
          <w:rtl/>
        </w:rPr>
        <w:t>جدول فوق با استفاده از ملاكهاى ساده تصميم‏گيرى «اگر-آنگاه» تفسير مى‏شود. براى مثال در سال 1375،</w:t>
      </w:r>
      <w:r>
        <w:rPr>
          <w:rFonts w:ascii="Arabic Transparent" w:hAnsi="Arabic Transparent" w:cs="Arabic Transparent"/>
        </w:rPr>
        <w:t>TR</w:t>
      </w:r>
      <w:r>
        <w:rPr>
          <w:rFonts w:ascii="Arabic Transparent" w:hAnsi="Arabic Transparent" w:cs="Arabic Transparent"/>
          <w:rtl/>
        </w:rPr>
        <w:t xml:space="preserve"> با «معمولى» و با «بالا» منتسب شده است. بنابراين با استفاده از قاعده 12 فوق مى‏گوئيم اقتصاد زيرزمينى «بزرگ» است. ساخت قواعد در جدول تا حدودى اختيارى است. قواعد پايه (1،7،13،19،25) را مى‏توان بطور مستقيم منتسب كرد و سپس از روش ليندستروم (</w:t>
      </w:r>
      <w:r>
        <w:rPr>
          <w:rFonts w:ascii="Arabic Transparent" w:hAnsi="Arabic Transparent" w:cs="Arabic Transparent"/>
        </w:rPr>
        <w:t>Lindstrom) (1987</w:t>
      </w:r>
      <w:r>
        <w:rPr>
          <w:rFonts w:ascii="Arabic Transparent" w:hAnsi="Arabic Transparent" w:cs="Arabic Transparent"/>
          <w:rtl/>
        </w:rPr>
        <w:t>) براى منتسب كردن بقيه بطور متقارن استفاده شده است.</w:t>
      </w:r>
    </w:p>
    <w:p w:rsidR="006E38C5" w:rsidRDefault="006E38C5" w:rsidP="006E38C5">
      <w:pPr>
        <w:pStyle w:val="NormalWeb"/>
        <w:rPr>
          <w:rFonts w:ascii="Arabic Transparent" w:hAnsi="Arabic Transparent" w:cs="Arabic Transparent"/>
          <w:rtl/>
        </w:rPr>
      </w:pPr>
      <w:r>
        <w:rPr>
          <w:rFonts w:ascii="Arabic Transparent" w:hAnsi="Arabic Transparent" w:cs="Arabic Transparent"/>
          <w:rtl/>
        </w:rPr>
        <w:t xml:space="preserve">ستون درجه در جدول فوق، درجه كمى شدن همراهى براى سرى اقتصاد زيرزمينى به دست مى‏دهد. براى مثال، با استفاده مثال 1375، قاعده 12 اقتصاد زيرزمينى را با بزرگ متوسط با 8/0 منتسب مى‏كند. اين موضوع نشان مى‏دهد </w:t>
      </w:r>
      <w:r>
        <w:rPr>
          <w:rFonts w:ascii="Arabic Transparent" w:hAnsi="Arabic Transparent" w:cs="Arabic Transparent"/>
          <w:rtl/>
        </w:rPr>
        <w:lastRenderedPageBreak/>
        <w:t>كه اقتصاد زير زمينى در آن سال بطور كامل با «بزرگ» منتسب نشده است. بلكه به ميزان 8/0 منتسب شده است .مجددا در انتساب اين درجه نيز قضاوتى، رفتار كرده‏ايم.</w:t>
      </w:r>
    </w:p>
    <w:p w:rsidR="006E38C5" w:rsidRDefault="006E38C5" w:rsidP="006E38C5">
      <w:pPr>
        <w:pStyle w:val="Heading4"/>
        <w:bidi/>
        <w:rPr>
          <w:rFonts w:ascii="Arabic Transparent" w:hAnsi="Arabic Transparent" w:cs="Arabic Transparent"/>
          <w:rtl/>
        </w:rPr>
      </w:pPr>
      <w:r>
        <w:rPr>
          <w:rFonts w:ascii="Arabic Transparent" w:hAnsi="Arabic Transparent" w:cs="Arabic Transparent"/>
          <w:rtl/>
        </w:rPr>
        <w:t>3-4 استخراج سرى اقتصاد زيرزمينى</w:t>
      </w:r>
    </w:p>
    <w:p w:rsidR="006E38C5" w:rsidRDefault="006E38C5" w:rsidP="006E38C5">
      <w:pPr>
        <w:pStyle w:val="NormalWeb"/>
        <w:rPr>
          <w:rFonts w:ascii="Arabic Transparent" w:hAnsi="Arabic Transparent" w:cs="Arabic Transparent"/>
          <w:rtl/>
        </w:rPr>
      </w:pPr>
      <w:r>
        <w:rPr>
          <w:rFonts w:ascii="Arabic Transparent" w:hAnsi="Arabic Transparent" w:cs="Arabic Transparent"/>
          <w:rtl/>
        </w:rPr>
        <w:t xml:space="preserve">آخرين مرحله از تحليل شامل استخراج سريهاى عددى براى اقتصاد زيرزمينى است. اين كار با منتسب ساختن مقادير، 0، 25/0، 5/0، 75/0 و 1، به سطح بسيار كوچك، كوچك، متوسط، بزرگ و بسياربزرگ براى اقتصاد زيرزمينى صورت گرفته است، كه در اينجا بوسيله سطوح ذيربط همراهى وزن‏دار شده‏اند. بخاطر آوريد كه براى هر مشاهده </w:t>
      </w:r>
      <w:r>
        <w:rPr>
          <w:rFonts w:ascii="Arabic Transparent" w:hAnsi="Arabic Transparent" w:cs="Arabic Transparent"/>
        </w:rPr>
        <w:t>TR</w:t>
      </w:r>
      <w:r>
        <w:rPr>
          <w:rFonts w:ascii="Arabic Transparent" w:hAnsi="Arabic Transparent" w:cs="Arabic Transparent"/>
          <w:rtl/>
        </w:rPr>
        <w:t xml:space="preserve"> و </w:t>
      </w:r>
      <w:r>
        <w:rPr>
          <w:rFonts w:ascii="Arabic Transparent" w:hAnsi="Arabic Transparent" w:cs="Arabic Transparent"/>
        </w:rPr>
        <w:t>REG</w:t>
      </w:r>
      <w:r>
        <w:rPr>
          <w:rFonts w:ascii="Arabic Transparent" w:hAnsi="Arabic Transparent" w:cs="Arabic Transparent"/>
          <w:rtl/>
        </w:rPr>
        <w:t>حداكثر 2 مقدار همراهى وجود دارد. بنابراين حداكثر 4=2×2 قاعده تصميم‏گيرى براى هر مقدار اقتصاد زيرزمينى كه ايجاد مى‏شود فعال خواهد بود. در اين جا عملگرهاى فازى «</w:t>
      </w:r>
      <w:r>
        <w:rPr>
          <w:rFonts w:ascii="Arabic Transparent" w:hAnsi="Arabic Transparent" w:cs="Arabic Transparent"/>
        </w:rPr>
        <w:t>min</w:t>
      </w:r>
      <w:r>
        <w:rPr>
          <w:rFonts w:ascii="Arabic Transparent" w:hAnsi="Arabic Transparent" w:cs="Arabic Transparent"/>
          <w:rtl/>
        </w:rPr>
        <w:t>» و «</w:t>
      </w:r>
      <w:r>
        <w:rPr>
          <w:rFonts w:ascii="Arabic Transparent" w:hAnsi="Arabic Transparent" w:cs="Arabic Transparent"/>
        </w:rPr>
        <w:t>max</w:t>
      </w:r>
      <w:r>
        <w:rPr>
          <w:rFonts w:ascii="Arabic Transparent" w:hAnsi="Arabic Transparent" w:cs="Arabic Transparent"/>
          <w:rtl/>
        </w:rPr>
        <w:t>» به جاى عملگرهاى معمولى «</w:t>
      </w:r>
      <w:r>
        <w:rPr>
          <w:rFonts w:ascii="Arabic Transparent" w:hAnsi="Arabic Transparent" w:cs="Arabic Transparent"/>
        </w:rPr>
        <w:t>AND</w:t>
      </w:r>
      <w:r>
        <w:rPr>
          <w:rFonts w:ascii="Arabic Transparent" w:hAnsi="Arabic Transparent" w:cs="Arabic Transparent"/>
          <w:rtl/>
        </w:rPr>
        <w:t>» و «</w:t>
      </w:r>
      <w:r>
        <w:rPr>
          <w:rFonts w:ascii="Arabic Transparent" w:hAnsi="Arabic Transparent" w:cs="Arabic Transparent"/>
        </w:rPr>
        <w:t>OR</w:t>
      </w:r>
      <w:r>
        <w:rPr>
          <w:rFonts w:ascii="Arabic Transparent" w:hAnsi="Arabic Transparent" w:cs="Arabic Transparent"/>
          <w:rtl/>
        </w:rPr>
        <w:t>» عمل مى‏كنند، بنابراين در 1375 مقادير انتسابى براى 4 سطح متفاوت اندازه‏ها به قرار زير است.</w:t>
      </w:r>
    </w:p>
    <w:p w:rsidR="006E38C5" w:rsidRDefault="006E38C5" w:rsidP="006E38C5">
      <w:pPr>
        <w:pStyle w:val="NormalWeb"/>
        <w:rPr>
          <w:rFonts w:ascii="Arabic Transparent" w:hAnsi="Arabic Transparent" w:cs="Arabic Transparent"/>
          <w:rtl/>
        </w:rPr>
      </w:pPr>
      <w:r>
        <w:rPr>
          <w:rFonts w:ascii="Arabic Transparent" w:hAnsi="Arabic Transparent" w:cs="Arabic Transparent"/>
          <w:rtl/>
        </w:rPr>
        <w:t xml:space="preserve">«بالا» «نرمال» </w:t>
      </w:r>
      <w:r>
        <w:rPr>
          <w:rFonts w:ascii="Arabic Transparent" w:hAnsi="Arabic Transparent" w:cs="Arabic Transparent"/>
        </w:rPr>
        <w:t>TR</w:t>
      </w:r>
    </w:p>
    <w:p w:rsidR="006E38C5" w:rsidRDefault="006E38C5" w:rsidP="006E38C5">
      <w:pPr>
        <w:pStyle w:val="NormalWeb"/>
        <w:rPr>
          <w:rFonts w:ascii="Arabic Transparent" w:hAnsi="Arabic Transparent" w:cs="Arabic Transparent"/>
          <w:rtl/>
        </w:rPr>
      </w:pPr>
      <w:r>
        <w:rPr>
          <w:rFonts w:ascii="Arabic Transparent" w:hAnsi="Arabic Transparent" w:cs="Arabic Transparent"/>
          <w:rtl/>
        </w:rPr>
        <w:t>4693932/0 530606798/0</w:t>
      </w:r>
    </w:p>
    <w:p w:rsidR="006E38C5" w:rsidRDefault="006E38C5" w:rsidP="006E38C5">
      <w:pPr>
        <w:pStyle w:val="NormalWeb"/>
        <w:rPr>
          <w:rFonts w:ascii="Arabic Transparent" w:hAnsi="Arabic Transparent" w:cs="Arabic Transparent"/>
          <w:rtl/>
        </w:rPr>
      </w:pPr>
      <w:r>
        <w:rPr>
          <w:rFonts w:ascii="Arabic Transparent" w:hAnsi="Arabic Transparent" w:cs="Arabic Transparent"/>
          <w:rtl/>
        </w:rPr>
        <w:t xml:space="preserve">«بالا» «پايين» </w:t>
      </w:r>
      <w:r>
        <w:rPr>
          <w:rFonts w:ascii="Arabic Transparent" w:hAnsi="Arabic Transparent" w:cs="Arabic Transparent"/>
        </w:rPr>
        <w:t>REG</w:t>
      </w:r>
    </w:p>
    <w:p w:rsidR="006E38C5" w:rsidRDefault="006E38C5" w:rsidP="006E38C5">
      <w:pPr>
        <w:pStyle w:val="NormalWeb"/>
        <w:rPr>
          <w:rFonts w:ascii="Arabic Transparent" w:hAnsi="Arabic Transparent" w:cs="Arabic Transparent"/>
          <w:rtl/>
        </w:rPr>
      </w:pPr>
      <w:r>
        <w:rPr>
          <w:rFonts w:ascii="Arabic Transparent" w:hAnsi="Arabic Transparent" w:cs="Arabic Transparent"/>
          <w:rtl/>
        </w:rPr>
        <w:t>82098986/0 179010/0</w:t>
      </w:r>
    </w:p>
    <w:p w:rsidR="006E38C5" w:rsidRDefault="006E38C5" w:rsidP="006E38C5">
      <w:pPr>
        <w:pStyle w:val="NormalWeb"/>
        <w:rPr>
          <w:rFonts w:ascii="Arabic Transparent" w:hAnsi="Arabic Transparent" w:cs="Arabic Transparent"/>
          <w:rtl/>
        </w:rPr>
      </w:pPr>
      <w:r>
        <w:rPr>
          <w:rFonts w:ascii="Arabic Transparent" w:hAnsi="Arabic Transparent" w:cs="Arabic Transparent"/>
          <w:rtl/>
        </w:rPr>
        <w:t>براى سال 1375 ،چهار سطح اندازه وجود دارد كه چهار تركيب ممكن را موارد زير تشكيل مى‏دهد.</w:t>
      </w:r>
    </w:p>
    <w:p w:rsidR="006E38C5" w:rsidRDefault="006E38C5" w:rsidP="006E38C5">
      <w:pPr>
        <w:pStyle w:val="NormalWeb"/>
        <w:rPr>
          <w:rFonts w:ascii="Arabic Transparent" w:hAnsi="Arabic Transparent" w:cs="Arabic Transparent"/>
          <w:rtl/>
        </w:rPr>
      </w:pPr>
      <w:r>
        <w:rPr>
          <w:rFonts w:ascii="Arabic Transparent" w:hAnsi="Arabic Transparent" w:cs="Arabic Transparent"/>
          <w:noProof/>
        </w:rPr>
        <w:drawing>
          <wp:inline distT="0" distB="0" distL="0" distR="0">
            <wp:extent cx="4001135" cy="1828800"/>
            <wp:effectExtent l="19050" t="0" r="0" b="0"/>
            <wp:docPr id="133" name="Picture 133" descr="http://www.hawzah.net/Per/Magazine/NM/027/NM027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hawzah.net/Per/Magazine/NM/027/NM027067.jpg"/>
                    <pic:cNvPicPr>
                      <a:picLocks noChangeAspect="1" noChangeArrowheads="1"/>
                    </pic:cNvPicPr>
                  </pic:nvPicPr>
                  <pic:blipFill>
                    <a:blip r:embed="rId6"/>
                    <a:srcRect/>
                    <a:stretch>
                      <a:fillRect/>
                    </a:stretch>
                  </pic:blipFill>
                  <pic:spPr bwMode="auto">
                    <a:xfrm>
                      <a:off x="0" y="0"/>
                      <a:ext cx="4001135" cy="1828800"/>
                    </a:xfrm>
                    <a:prstGeom prst="rect">
                      <a:avLst/>
                    </a:prstGeom>
                    <a:noFill/>
                    <a:ln w="9525">
                      <a:noFill/>
                      <a:miter lim="800000"/>
                      <a:headEnd/>
                      <a:tailEnd/>
                    </a:ln>
                  </pic:spPr>
                </pic:pic>
              </a:graphicData>
            </a:graphic>
          </wp:inline>
        </w:drawing>
      </w:r>
    </w:p>
    <w:p w:rsidR="006E38C5" w:rsidRDefault="006E38C5" w:rsidP="006E38C5">
      <w:pPr>
        <w:pStyle w:val="NormalWeb"/>
        <w:rPr>
          <w:rFonts w:ascii="Arabic Transparent" w:hAnsi="Arabic Transparent" w:cs="Arabic Transparent"/>
          <w:rtl/>
        </w:rPr>
      </w:pPr>
      <w:r>
        <w:rPr>
          <w:rFonts w:ascii="Arabic Transparent" w:hAnsi="Arabic Transparent" w:cs="Arabic Transparent"/>
          <w:rtl/>
        </w:rPr>
        <w:t xml:space="preserve">از قواعد تصميم‏گيرى مندرج در جدول قبلى هر تركيبى از سطح </w:t>
      </w:r>
      <w:r>
        <w:rPr>
          <w:rFonts w:ascii="Arabic Transparent" w:hAnsi="Arabic Transparent" w:cs="Arabic Transparent"/>
        </w:rPr>
        <w:t>TR</w:t>
      </w:r>
      <w:r>
        <w:rPr>
          <w:rFonts w:ascii="Arabic Transparent" w:hAnsi="Arabic Transparent" w:cs="Arabic Transparent"/>
          <w:rtl/>
        </w:rPr>
        <w:t xml:space="preserve"> و</w:t>
      </w:r>
      <w:r>
        <w:rPr>
          <w:rFonts w:ascii="Arabic Transparent" w:hAnsi="Arabic Transparent" w:cs="Arabic Transparent"/>
        </w:rPr>
        <w:t>REG</w:t>
      </w:r>
      <w:r>
        <w:rPr>
          <w:rFonts w:ascii="Arabic Transparent" w:hAnsi="Arabic Transparent" w:cs="Arabic Transparent"/>
          <w:rtl/>
        </w:rPr>
        <w:t xml:space="preserve"> با يك سطح اندازه براى اقتصاد زيرزمينى همراه با يك درجه (</w:t>
      </w:r>
      <w:r>
        <w:rPr>
          <w:rFonts w:ascii="Arabic Transparent" w:hAnsi="Arabic Transparent" w:cs="Arabic Transparent"/>
        </w:rPr>
        <w:t>VS</w:t>
      </w:r>
      <w:r>
        <w:rPr>
          <w:rFonts w:ascii="Arabic Transparent" w:hAnsi="Arabic Transparent" w:cs="Arabic Transparent"/>
          <w:rtl/>
        </w:rPr>
        <w:t xml:space="preserve"> خيلى‏كوچك،</w:t>
      </w:r>
      <w:r>
        <w:rPr>
          <w:rFonts w:ascii="Arabic Transparent" w:hAnsi="Arabic Transparent" w:cs="Arabic Transparent"/>
        </w:rPr>
        <w:t>S</w:t>
      </w:r>
      <w:r>
        <w:rPr>
          <w:rFonts w:ascii="Arabic Transparent" w:hAnsi="Arabic Transparent" w:cs="Arabic Transparent"/>
          <w:rtl/>
        </w:rPr>
        <w:t xml:space="preserve"> كوچك، </w:t>
      </w:r>
      <w:r>
        <w:rPr>
          <w:rFonts w:ascii="Arabic Transparent" w:hAnsi="Arabic Transparent" w:cs="Arabic Transparent"/>
        </w:rPr>
        <w:t>A</w:t>
      </w:r>
      <w:r>
        <w:rPr>
          <w:rFonts w:ascii="Arabic Transparent" w:hAnsi="Arabic Transparent" w:cs="Arabic Transparent"/>
          <w:rtl/>
        </w:rPr>
        <w:t xml:space="preserve">متوسط، </w:t>
      </w:r>
      <w:r>
        <w:rPr>
          <w:rFonts w:ascii="Arabic Transparent" w:hAnsi="Arabic Transparent" w:cs="Arabic Transparent"/>
        </w:rPr>
        <w:t>B</w:t>
      </w:r>
      <w:r>
        <w:rPr>
          <w:rFonts w:ascii="Arabic Transparent" w:hAnsi="Arabic Transparent" w:cs="Arabic Transparent"/>
          <w:rtl/>
        </w:rPr>
        <w:t xml:space="preserve"> بزرگ،</w:t>
      </w:r>
      <w:r>
        <w:rPr>
          <w:rFonts w:ascii="Arabic Transparent" w:hAnsi="Arabic Transparent" w:cs="Arabic Transparent"/>
        </w:rPr>
        <w:t>VB</w:t>
      </w:r>
      <w:r>
        <w:rPr>
          <w:rFonts w:ascii="Arabic Transparent" w:hAnsi="Arabic Transparent" w:cs="Arabic Transparent"/>
          <w:rtl/>
        </w:rPr>
        <w:t xml:space="preserve"> خيلى بزرگ) منتسب مى‏گردد. نخستين تركيب در اين مثال يعنى تركيب 1 براى</w:t>
      </w:r>
      <w:r>
        <w:rPr>
          <w:rFonts w:ascii="Arabic Transparent" w:hAnsi="Arabic Transparent" w:cs="Arabic Transparent"/>
        </w:rPr>
        <w:t>TR</w:t>
      </w:r>
      <w:r>
        <w:rPr>
          <w:rFonts w:ascii="Arabic Transparent" w:hAnsi="Arabic Transparent" w:cs="Arabic Transparent"/>
          <w:rtl/>
        </w:rPr>
        <w:t xml:space="preserve"> معمولى و براى</w:t>
      </w:r>
      <w:r>
        <w:rPr>
          <w:rFonts w:ascii="Arabic Transparent" w:hAnsi="Arabic Transparent" w:cs="Arabic Transparent"/>
        </w:rPr>
        <w:t>REG</w:t>
      </w:r>
      <w:r>
        <w:rPr>
          <w:rFonts w:ascii="Arabic Transparent" w:hAnsi="Arabic Transparent" w:cs="Arabic Transparent"/>
          <w:rtl/>
        </w:rPr>
        <w:t xml:space="preserve"> پايين را منتسب مى‏كند تا سطح كوچك با درجه 8/0 براى سرى اقتصاد زيرزمينى بدست آيد. سطح معمولى براى</w:t>
      </w:r>
      <w:r>
        <w:rPr>
          <w:rFonts w:ascii="Arabic Transparent" w:hAnsi="Arabic Transparent" w:cs="Arabic Transparent"/>
        </w:rPr>
        <w:t>TR 53060798/0</w:t>
      </w:r>
      <w:r>
        <w:rPr>
          <w:rFonts w:ascii="Arabic Transparent" w:hAnsi="Arabic Transparent" w:cs="Arabic Transparent"/>
          <w:rtl/>
        </w:rPr>
        <w:t xml:space="preserve"> و سطح پايين براى </w:t>
      </w:r>
      <w:r>
        <w:rPr>
          <w:rFonts w:ascii="Arabic Transparent" w:hAnsi="Arabic Transparent" w:cs="Arabic Transparent"/>
        </w:rPr>
        <w:t>REG17901/0</w:t>
      </w:r>
      <w:r>
        <w:rPr>
          <w:rFonts w:ascii="Arabic Transparent" w:hAnsi="Arabic Transparent" w:cs="Arabic Transparent"/>
          <w:rtl/>
        </w:rPr>
        <w:t>، استفاده از عملگر «</w:t>
      </w:r>
      <w:r>
        <w:rPr>
          <w:rFonts w:ascii="Arabic Transparent" w:hAnsi="Arabic Transparent" w:cs="Arabic Transparent"/>
        </w:rPr>
        <w:t>AND» (min</w:t>
      </w:r>
      <w:r>
        <w:rPr>
          <w:rFonts w:ascii="Arabic Transparent" w:hAnsi="Arabic Transparent" w:cs="Arabic Transparent"/>
          <w:rtl/>
        </w:rPr>
        <w:t>) به انتخاب مقدار كمتر17901/0 منجر مى‏شود تا در مقدار درجه براى سطح اقتصاد زيرزمينى (كه در اين جا 8/0است) ضرب شود.</w:t>
      </w:r>
    </w:p>
    <w:p w:rsidR="006E38C5" w:rsidRDefault="006E38C5" w:rsidP="006E38C5">
      <w:pPr>
        <w:pStyle w:val="NormalWeb"/>
        <w:rPr>
          <w:rFonts w:ascii="Arabic Transparent" w:hAnsi="Arabic Transparent" w:cs="Arabic Transparent"/>
          <w:rtl/>
        </w:rPr>
      </w:pPr>
      <w:r>
        <w:rPr>
          <w:rFonts w:ascii="Arabic Transparent" w:hAnsi="Arabic Transparent" w:cs="Arabic Transparent"/>
          <w:rtl/>
        </w:rPr>
        <w:t>ستون سوم تحت عنوان در جه يا سطح اقتصاد زيرزمينى محاسبات را تا اين نقطه نشان مى‏دهد.</w:t>
      </w:r>
    </w:p>
    <w:p w:rsidR="006E38C5" w:rsidRDefault="006E38C5" w:rsidP="006E38C5">
      <w:pPr>
        <w:pStyle w:val="NormalWeb"/>
        <w:rPr>
          <w:rFonts w:ascii="Arabic Transparent" w:hAnsi="Arabic Transparent" w:cs="Arabic Transparent"/>
          <w:rtl/>
        </w:rPr>
      </w:pPr>
      <w:r>
        <w:rPr>
          <w:rFonts w:ascii="Arabic Transparent" w:hAnsi="Arabic Transparent" w:cs="Arabic Transparent"/>
          <w:rtl/>
        </w:rPr>
        <w:t>اين سطوح نشان مى‏دهد سطح «كوچك»</w:t>
      </w:r>
      <w:r>
        <w:rPr>
          <w:rFonts w:ascii="Arabic Transparent" w:hAnsi="Arabic Transparent" w:cs="Arabic Transparent"/>
        </w:rPr>
        <w:t>S</w:t>
      </w:r>
      <w:r>
        <w:rPr>
          <w:rFonts w:ascii="Arabic Transparent" w:hAnsi="Arabic Transparent" w:cs="Arabic Transparent"/>
          <w:rtl/>
        </w:rPr>
        <w:t xml:space="preserve"> به اقتصاد زير زمينى با درجه 8/0 منتسب مى‏گردد، اين درجه در </w:t>
      </w:r>
      <w:r>
        <w:rPr>
          <w:rFonts w:ascii="Arabic Transparent" w:hAnsi="Arabic Transparent" w:cs="Arabic Transparent"/>
        </w:rPr>
        <w:t>min</w:t>
      </w:r>
      <w:r>
        <w:rPr>
          <w:rFonts w:ascii="Arabic Transparent" w:hAnsi="Arabic Transparent" w:cs="Arabic Transparent"/>
          <w:rtl/>
        </w:rPr>
        <w:t xml:space="preserve">، </w:t>
      </w:r>
      <w:r>
        <w:rPr>
          <w:rFonts w:ascii="Arabic Transparent" w:hAnsi="Arabic Transparent" w:cs="Arabic Transparent"/>
        </w:rPr>
        <w:t>TR</w:t>
      </w:r>
      <w:r>
        <w:rPr>
          <w:rFonts w:ascii="Arabic Transparent" w:hAnsi="Arabic Transparent" w:cs="Arabic Transparent"/>
          <w:rtl/>
        </w:rPr>
        <w:t xml:space="preserve"> «معمولى» يا </w:t>
      </w:r>
      <w:r>
        <w:rPr>
          <w:rFonts w:ascii="Arabic Transparent" w:hAnsi="Arabic Transparent" w:cs="Arabic Transparent"/>
        </w:rPr>
        <w:t>REG</w:t>
      </w:r>
      <w:r>
        <w:rPr>
          <w:rFonts w:ascii="Arabic Transparent" w:hAnsi="Arabic Transparent" w:cs="Arabic Transparent"/>
          <w:rtl/>
        </w:rPr>
        <w:t xml:space="preserve"> «پايين» كه در اين جا برابر با 17901/، است ضرب مى‏شود.</w:t>
      </w:r>
    </w:p>
    <w:p w:rsidR="006E38C5" w:rsidRDefault="006E38C5" w:rsidP="006E38C5">
      <w:pPr>
        <w:pStyle w:val="NormalWeb"/>
        <w:rPr>
          <w:rFonts w:ascii="Arabic Transparent" w:hAnsi="Arabic Transparent" w:cs="Arabic Transparent"/>
          <w:rtl/>
        </w:rPr>
      </w:pPr>
      <w:r>
        <w:rPr>
          <w:rFonts w:ascii="Arabic Transparent" w:hAnsi="Arabic Transparent" w:cs="Arabic Transparent"/>
          <w:rtl/>
        </w:rPr>
        <w:lastRenderedPageBreak/>
        <w:t>آخرين ستون استفاده از عملگر</w:t>
      </w:r>
      <w:r>
        <w:rPr>
          <w:rFonts w:ascii="Arabic Transparent" w:hAnsi="Arabic Transparent" w:cs="Arabic Transparent"/>
        </w:rPr>
        <w:t>OR (max</w:t>
      </w:r>
      <w:r>
        <w:rPr>
          <w:rFonts w:ascii="Arabic Transparent" w:hAnsi="Arabic Transparent" w:cs="Arabic Transparent"/>
          <w:rtl/>
        </w:rPr>
        <w:t xml:space="preserve">) فازى را در بردارد. براى سال 1375، قواعد تصميم‏گيرى 17و13 فعال مى‏شود كه هر دو به سطح </w:t>
      </w:r>
      <w:r>
        <w:rPr>
          <w:rFonts w:ascii="Arabic Transparent" w:hAnsi="Arabic Transparent" w:cs="Arabic Transparent"/>
        </w:rPr>
        <w:t>A</w:t>
      </w:r>
      <w:r>
        <w:rPr>
          <w:rFonts w:ascii="Arabic Transparent" w:hAnsi="Arabic Transparent" w:cs="Arabic Transparent"/>
          <w:rtl/>
        </w:rPr>
        <w:t xml:space="preserve"> (متوسط) منجر مى‏شود و اين پرسش را پيش مى‏آورد كه كدام متوسط بايد انتخاب شود. زيرا هر دو نمى‏توانند در آن واحد صحيح باشد. عملگر </w:t>
      </w:r>
      <w:r>
        <w:rPr>
          <w:rFonts w:ascii="Arabic Transparent" w:hAnsi="Arabic Transparent" w:cs="Arabic Transparent"/>
        </w:rPr>
        <w:t>OR</w:t>
      </w:r>
      <w:r>
        <w:rPr>
          <w:rFonts w:ascii="Arabic Transparent" w:hAnsi="Arabic Transparent" w:cs="Arabic Transparent"/>
          <w:rtl/>
        </w:rPr>
        <w:t>كه در اين جا بكار مى‏رود، مقدار بزرگتر 530606798/، را برمى‏گزيند (و بنابراين مقدار 179010/، را ناديده مى‏گيريم).</w:t>
      </w:r>
    </w:p>
    <w:p w:rsidR="006E38C5" w:rsidRDefault="006E38C5" w:rsidP="006E38C5">
      <w:pPr>
        <w:pStyle w:val="NormalWeb"/>
        <w:rPr>
          <w:rFonts w:ascii="Arabic Transparent" w:hAnsi="Arabic Transparent" w:cs="Arabic Transparent"/>
          <w:rtl/>
        </w:rPr>
      </w:pPr>
      <w:r>
        <w:rPr>
          <w:rFonts w:ascii="Arabic Transparent" w:hAnsi="Arabic Transparent" w:cs="Arabic Transparent"/>
          <w:rtl/>
        </w:rPr>
        <w:t>وظيفه آخر منتسب كردن مقادير براى سطوح اقتصاد زيرزمينى است. به ياد آوريد كه اين مقادير 0 و 25/. و 75/. و 1 بودند كه به ترتيب با سطوح بسيار كوچك، كوچك، متوسط، بزرگ و بسياربزرگ براى اقتصاد زيرزمينى منتسب شدند، مجددا با مثال 1375، به طريق زير عمل مى‏كنيم.</w:t>
      </w:r>
    </w:p>
    <w:p w:rsidR="006E38C5" w:rsidRDefault="006E38C5" w:rsidP="006E38C5">
      <w:pPr>
        <w:pStyle w:val="NormalWeb"/>
        <w:rPr>
          <w:rFonts w:ascii="Arabic Transparent" w:hAnsi="Arabic Transparent" w:cs="Arabic Transparent"/>
          <w:rtl/>
        </w:rPr>
      </w:pPr>
      <w:r>
        <w:rPr>
          <w:rFonts w:ascii="Arabic Transparent" w:hAnsi="Arabic Transparent" w:cs="Arabic Transparent"/>
          <w:rtl/>
        </w:rPr>
        <w:t>وزن ارزش سطح</w:t>
      </w:r>
    </w:p>
    <w:p w:rsidR="006E38C5" w:rsidRDefault="006E38C5" w:rsidP="006E38C5">
      <w:pPr>
        <w:pStyle w:val="NormalWeb"/>
        <w:rPr>
          <w:rFonts w:ascii="Arabic Transparent" w:hAnsi="Arabic Transparent" w:cs="Arabic Transparent"/>
          <w:rtl/>
        </w:rPr>
      </w:pPr>
      <w:r>
        <w:rPr>
          <w:rFonts w:ascii="Arabic Transparent" w:hAnsi="Arabic Transparent" w:cs="Arabic Transparent"/>
          <w:rtl/>
        </w:rPr>
        <w:t xml:space="preserve">25/0 143208/ 0 </w:t>
      </w:r>
      <w:r>
        <w:rPr>
          <w:rFonts w:ascii="Arabic Transparent" w:hAnsi="Arabic Transparent" w:cs="Arabic Transparent"/>
        </w:rPr>
        <w:t>S</w:t>
      </w:r>
    </w:p>
    <w:p w:rsidR="006E38C5" w:rsidRDefault="006E38C5" w:rsidP="006E38C5">
      <w:pPr>
        <w:pStyle w:val="NormalWeb"/>
        <w:rPr>
          <w:rFonts w:ascii="Arabic Transparent" w:hAnsi="Arabic Transparent" w:cs="Arabic Transparent"/>
          <w:rtl/>
        </w:rPr>
      </w:pPr>
      <w:r>
        <w:rPr>
          <w:rFonts w:ascii="Arabic Transparent" w:hAnsi="Arabic Transparent" w:cs="Arabic Transparent"/>
          <w:rtl/>
        </w:rPr>
        <w:t xml:space="preserve">5/0 530606798/ 0 </w:t>
      </w:r>
      <w:r>
        <w:rPr>
          <w:rFonts w:ascii="Arabic Transparent" w:hAnsi="Arabic Transparent" w:cs="Arabic Transparent"/>
        </w:rPr>
        <w:t>A</w:t>
      </w:r>
    </w:p>
    <w:p w:rsidR="006E38C5" w:rsidRDefault="006E38C5" w:rsidP="006E38C5">
      <w:pPr>
        <w:pStyle w:val="NormalWeb"/>
        <w:rPr>
          <w:rFonts w:ascii="Arabic Transparent" w:hAnsi="Arabic Transparent" w:cs="Arabic Transparent"/>
          <w:rtl/>
        </w:rPr>
      </w:pPr>
      <w:r>
        <w:rPr>
          <w:rFonts w:ascii="Arabic Transparent" w:hAnsi="Arabic Transparent" w:cs="Arabic Transparent"/>
          <w:rtl/>
        </w:rPr>
        <w:t xml:space="preserve">75/0 4693932/0 </w:t>
      </w:r>
      <w:r>
        <w:rPr>
          <w:rFonts w:ascii="Arabic Transparent" w:hAnsi="Arabic Transparent" w:cs="Arabic Transparent"/>
        </w:rPr>
        <w:t>B</w:t>
      </w:r>
      <w:r>
        <w:rPr>
          <w:rFonts w:ascii="Arabic Transparent" w:hAnsi="Arabic Transparent" w:cs="Arabic Transparent"/>
          <w:rtl/>
        </w:rPr>
        <w:t xml:space="preserve"> </w:t>
      </w:r>
    </w:p>
    <w:p w:rsidR="006E38C5" w:rsidRDefault="006E38C5" w:rsidP="006E38C5">
      <w:pPr>
        <w:pStyle w:val="NormalWeb"/>
        <w:rPr>
          <w:rFonts w:ascii="Arabic Transparent" w:hAnsi="Arabic Transparent" w:cs="Arabic Transparent"/>
          <w:rtl/>
        </w:rPr>
      </w:pPr>
      <w:r>
        <w:rPr>
          <w:rFonts w:ascii="Arabic Transparent" w:hAnsi="Arabic Transparent" w:cs="Arabic Transparent"/>
          <w:rtl/>
        </w:rPr>
        <w:t>(75/0*4693932/0)+(5/0*53060798/0)+(25/0*143208/0)</w:t>
      </w:r>
      <w:r>
        <w:rPr>
          <w:rFonts w:ascii="Arabic Transparent" w:hAnsi="Arabic Transparent" w:cs="Arabic Transparent"/>
          <w:rtl/>
        </w:rPr>
        <w:br/>
        <w:t>56/0= ________________________________________</w:t>
      </w:r>
      <w:r>
        <w:rPr>
          <w:rFonts w:ascii="Arabic Transparent" w:hAnsi="Arabic Transparent" w:cs="Arabic Transparent"/>
          <w:rtl/>
        </w:rPr>
        <w:br/>
        <w:t>4693932/0+53060798/0+143208/0</w:t>
      </w:r>
    </w:p>
    <w:p w:rsidR="006E38C5" w:rsidRDefault="006E38C5" w:rsidP="006E38C5">
      <w:pPr>
        <w:pStyle w:val="NormalWeb"/>
        <w:rPr>
          <w:rFonts w:ascii="Arabic Transparent" w:hAnsi="Arabic Transparent" w:cs="Arabic Transparent"/>
          <w:rtl/>
        </w:rPr>
      </w:pPr>
      <w:r>
        <w:rPr>
          <w:rFonts w:ascii="Arabic Transparent" w:hAnsi="Arabic Transparent" w:cs="Arabic Transparent"/>
          <w:rtl/>
        </w:rPr>
        <w:t>براى اين كه شاخص مقدار اقتصاد زيرزمينى در فاصله [0و1] قرار گيرد، مجموع وزنها (يعنى مقادير انتسابى) بايد، برابر با يك باشد كه اين كار از طريق تقسيم آنها به مجموع ارزشها انجام مى‏گيرد .شاخص مقداراقتصاد زيرزمينى 56/. نشان مى‏دهد، براى سال 1375 در ايران تمايل كارگزاران به زيرزمينى عمل كردن بالاتر از حد طبيعى بوده است. به بيان ديگر عاملان اقتصادى، تمايل كمترى داشته‏اند آشكارا و روى صحنه فعاليت اقتصادى نمايند.</w:t>
      </w:r>
    </w:p>
    <w:p w:rsidR="006E38C5" w:rsidRDefault="006E38C5" w:rsidP="006E38C5">
      <w:pPr>
        <w:pStyle w:val="Heading3"/>
        <w:bidi/>
        <w:rPr>
          <w:rFonts w:ascii="Arabic Transparent" w:hAnsi="Arabic Transparent" w:cs="Arabic Transparent"/>
          <w:rtl/>
        </w:rPr>
      </w:pPr>
      <w:r>
        <w:rPr>
          <w:rFonts w:ascii="Arabic Transparent" w:hAnsi="Arabic Transparent" w:cs="Arabic Transparent"/>
          <w:rtl/>
        </w:rPr>
        <w:t xml:space="preserve">5- نتايج نهائى </w:t>
      </w:r>
    </w:p>
    <w:p w:rsidR="006E38C5" w:rsidRDefault="006E38C5" w:rsidP="006E38C5">
      <w:pPr>
        <w:pStyle w:val="NormalWeb"/>
        <w:rPr>
          <w:rFonts w:ascii="Arabic Transparent" w:hAnsi="Arabic Transparent" w:cs="Arabic Transparent"/>
          <w:rtl/>
        </w:rPr>
      </w:pPr>
      <w:r>
        <w:rPr>
          <w:rFonts w:ascii="Arabic Transparent" w:hAnsi="Arabic Transparent" w:cs="Arabic Transparent"/>
          <w:rtl/>
        </w:rPr>
        <w:t>شاخص مقادير بدست آمده براى هر سال را تراز كرده‏ايم</w:t>
      </w:r>
      <w:r>
        <w:rPr>
          <w:rFonts w:ascii="Arabic Transparent" w:hAnsi="Arabic Transparent" w:cs="Arabic Transparent"/>
          <w:vertAlign w:val="superscript"/>
          <w:rtl/>
        </w:rPr>
        <w:t>(5)</w:t>
      </w:r>
      <w:r>
        <w:rPr>
          <w:rFonts w:ascii="Arabic Transparent" w:hAnsi="Arabic Transparent" w:cs="Arabic Transparent"/>
          <w:rtl/>
        </w:rPr>
        <w:t xml:space="preserve"> تا سرى اقتصاد زيرزمينى برحسب توليد ناخالص داخلى رسمى بدست آيد. سرى زمانى اقتصاد زيرزمينى ايران در «نمودار 1» رسم شده است. ستون اول جدول 2 نسبت توليد ناخالص داخلى اقتصاد زيرزمينى به توليد ناخالص داخلى رسمى را نشان مى‏دهد. ستون دوم حجم اقتصاد زيرزمينى (توليد ناخالص داخلى زيرزمينى) را بر حسب ميليارد ريال نشان مى‏دهد. با استفاده از نسبت ماليات به توليد ناخالص داخلى (به عنوان شاخص نرخ مالياتى) مقدار فرار مالياتى اندازه گيرى مى‏شود. ستون چهارم ميزان فرار مالياتى براورد شده را نشان مى‏دهد، ستون ششم نسبت فرار مالياتى به درآمد مالياتى رسمى رانشان مى‏دهد، اين نسبت در نمودار 2 نشان داده شده است.نسبت توليد ناخالص اقتصاد زير زمينى به توليد ناخالص داخلى اندازه گيرى شده در سال 1378، 4/17 درصد به ارزش 93/77130 ميليارد ريال تخمين زده شده است. به همين ترتيب ارزش فرار مالياتى 82/5784ميليارد ريال كه4/19 درصد از درآمد مالياتى رسمى كشور در سال 1378 مى‏باشد، تخمين زده شده است.</w:t>
      </w:r>
    </w:p>
    <w:p w:rsidR="006E38C5" w:rsidRDefault="006E38C5" w:rsidP="006E38C5">
      <w:pPr>
        <w:pStyle w:val="NormalWeb"/>
        <w:rPr>
          <w:rFonts w:ascii="Arabic Transparent" w:hAnsi="Arabic Transparent" w:cs="Arabic Transparent"/>
          <w:rtl/>
        </w:rPr>
      </w:pPr>
      <w:r>
        <w:rPr>
          <w:rFonts w:ascii="Arabic Transparent" w:hAnsi="Arabic Transparent" w:cs="Arabic Transparent"/>
          <w:rtl/>
        </w:rPr>
        <w:t>نتايج بدست آمده به خوبى فرضيات طرح شده در ابتداى مقاله را به اثبات مى‏رساند؛ زيرا روند اقتصاد زير زمينى در ايران بجز برخى از سالها در حال افزايش است. دو متغير ورودى نرخ ماليات وشاخصى از مقررات وتنظيم كننده اقتصاد و تجارت با اقتصاد زير زمينى همراهى دارد.</w:t>
      </w:r>
    </w:p>
    <w:p w:rsidR="006E38C5" w:rsidRDefault="006E38C5" w:rsidP="006E38C5">
      <w:pPr>
        <w:pStyle w:val="NormalWeb"/>
        <w:rPr>
          <w:rFonts w:ascii="Arabic Transparent" w:hAnsi="Arabic Transparent" w:cs="Arabic Transparent"/>
          <w:rtl/>
        </w:rPr>
      </w:pPr>
      <w:r>
        <w:rPr>
          <w:rFonts w:ascii="Arabic Transparent" w:hAnsi="Arabic Transparent" w:cs="Arabic Transparent"/>
          <w:rtl/>
        </w:rPr>
        <w:t>همچنين استحكام سريهاى فازى اقتصاد زير زمينى را در مقابل تغييرات فرضهاى متعدد ذهنى كه در ساخت آنها بكار برده‏ايم، بررسى كرده‏ايم و مشخص شد كه نتايج كاملاً نسبت به انتخاب در جات قاعده تصميم، غيرحساس است. همچنين آن را در مقابل استفاده از ميانگين ياميانه به عنوان پايه براى نقاط شكست، نسبت به تعداد انحراف معيارهاى استفاده شده براى اين پايه بررسى كرده‏ايم.</w:t>
      </w:r>
    </w:p>
    <w:p w:rsidR="006E38C5" w:rsidRDefault="006E38C5" w:rsidP="006E38C5">
      <w:pPr>
        <w:pStyle w:val="NormalWeb"/>
        <w:rPr>
          <w:rFonts w:ascii="Arabic Transparent" w:hAnsi="Arabic Transparent" w:cs="Arabic Transparent"/>
          <w:rtl/>
        </w:rPr>
      </w:pPr>
      <w:r>
        <w:rPr>
          <w:rFonts w:ascii="Arabic Transparent" w:hAnsi="Arabic Transparent" w:cs="Arabic Transparent"/>
          <w:rtl/>
        </w:rPr>
        <w:lastRenderedPageBreak/>
        <w:t xml:space="preserve">بعلاوه سريهاى متناظرفازى اقتصادزيرزمينى رابا استفاده ازمتغيرهاى علّى كه درسايرتحليلهاى اقتصادزيرزمينى برگزيده شده بودند، ايجاد كرده‏ايم. براى مثال استفاده از نرخ تورم همراه با </w:t>
      </w:r>
      <w:r>
        <w:rPr>
          <w:rFonts w:ascii="Arabic Transparent" w:hAnsi="Arabic Transparent" w:cs="Arabic Transparent"/>
        </w:rPr>
        <w:t>TR</w:t>
      </w:r>
      <w:r>
        <w:rPr>
          <w:rFonts w:ascii="Arabic Transparent" w:hAnsi="Arabic Transparent" w:cs="Arabic Transparent"/>
          <w:rtl/>
        </w:rPr>
        <w:t xml:space="preserve">و </w:t>
      </w:r>
      <w:r>
        <w:rPr>
          <w:rFonts w:ascii="Arabic Transparent" w:hAnsi="Arabic Transparent" w:cs="Arabic Transparent"/>
        </w:rPr>
        <w:t>REG</w:t>
      </w:r>
      <w:r>
        <w:rPr>
          <w:rFonts w:ascii="Arabic Transparent" w:hAnsi="Arabic Transparent" w:cs="Arabic Transparent"/>
          <w:rtl/>
        </w:rPr>
        <w:t xml:space="preserve"> نتايج كاملاً مشابهى ايجاد كرد. محتمل‏ترين توضيح براى الگوهاى متفاوت چرخه‏اى، درسريهاى </w:t>
      </w:r>
      <w:r>
        <w:rPr>
          <w:rFonts w:ascii="Arabic Transparent" w:hAnsi="Arabic Transparent" w:cs="Arabic Transparent"/>
        </w:rPr>
        <w:t>MIMIC</w:t>
      </w:r>
      <w:r>
        <w:rPr>
          <w:rFonts w:ascii="Arabic Transparent" w:hAnsi="Arabic Transparent" w:cs="Arabic Transparent"/>
          <w:rtl/>
        </w:rPr>
        <w:t xml:space="preserve">وفازى اين است كه سرى </w:t>
      </w:r>
      <w:r>
        <w:rPr>
          <w:rFonts w:ascii="Arabic Transparent" w:hAnsi="Arabic Transparent" w:cs="Arabic Transparent"/>
        </w:rPr>
        <w:t>MIMIC</w:t>
      </w:r>
      <w:r>
        <w:rPr>
          <w:rFonts w:ascii="Arabic Transparent" w:hAnsi="Arabic Transparent" w:cs="Arabic Transparent"/>
          <w:rtl/>
        </w:rPr>
        <w:t>بر ده متغير علّى مبتنى است‏نه بر دو متغير، گسترش تحليل منطق فازى فوق به بيش از دو متغير علّى براساس قضاوتهاى ذهنى لازم‏چندان ساده نخواهد بود.</w:t>
      </w:r>
    </w:p>
    <w:p w:rsidR="006E38C5" w:rsidRDefault="006E38C5" w:rsidP="006E38C5">
      <w:pPr>
        <w:pStyle w:val="NormalWeb"/>
        <w:rPr>
          <w:rFonts w:ascii="Arabic Transparent" w:hAnsi="Arabic Transparent" w:cs="Arabic Transparent"/>
          <w:rtl/>
        </w:rPr>
      </w:pPr>
      <w:r>
        <w:rPr>
          <w:rFonts w:ascii="Arabic Transparent" w:hAnsi="Arabic Transparent" w:cs="Arabic Transparent"/>
          <w:rtl/>
        </w:rPr>
        <w:t>براى اين كه تحليل خود راكامل كنيم، با ساختار سلسله مراتبى مدلهاى دو متغيره آزمايش به عمل مى‏آوريم. براى مثال، سريهاى به دست آمده براى اقتصاد زيرزمينى را مى‏توان به عنوان يك متغير علّى جديد مركب تلقى كرد. مى‏توان به طريق مشابه متغير علّى مركب همانندى را با استفاده از دو متغير علّى كاملاً متفاوت پايه بدست آورد تا مسير زمانى جداگانه‏اى براى اقتصاد زيرزمينى بدست آيد. بنابراين متدلوژى مطرح شده در اين مقاله براى حالت دو متغيره را مى‏توان به اين (نهاده‏ها) و وروديهاى مركب بكار برد. البته در اين كار جدائى‏پذيرى ذاتى اثرات زوج متغيرهاى ورودى پايه را فرض مى‏كنيم كه ممكن است واقع بينانه نباشد. تلاش ما تا اين تاريخ در اين راستا نتايج متفاوتى از آنچه در نمودار شماره 1 آمده است، نشان نمى‏دهد.</w:t>
      </w:r>
    </w:p>
    <w:p w:rsidR="006E38C5" w:rsidRDefault="006E38C5" w:rsidP="006E38C5">
      <w:pPr>
        <w:pStyle w:val="Heading3"/>
        <w:bidi/>
        <w:rPr>
          <w:rFonts w:ascii="Arabic Transparent" w:hAnsi="Arabic Transparent" w:cs="Arabic Transparent"/>
          <w:rtl/>
        </w:rPr>
      </w:pPr>
      <w:r>
        <w:rPr>
          <w:rFonts w:ascii="Arabic Transparent" w:hAnsi="Arabic Transparent" w:cs="Arabic Transparent"/>
          <w:rtl/>
        </w:rPr>
        <w:t>6- نتيجه‏گيرى</w:t>
      </w:r>
    </w:p>
    <w:p w:rsidR="006E38C5" w:rsidRDefault="006E38C5" w:rsidP="006E38C5">
      <w:pPr>
        <w:pStyle w:val="NormalWeb"/>
        <w:rPr>
          <w:rFonts w:ascii="Arabic Transparent" w:hAnsi="Arabic Transparent" w:cs="Arabic Transparent"/>
          <w:rtl/>
        </w:rPr>
      </w:pPr>
      <w:r>
        <w:rPr>
          <w:rFonts w:ascii="Arabic Transparent" w:hAnsi="Arabic Transparent" w:cs="Arabic Transparent"/>
          <w:rtl/>
        </w:rPr>
        <w:t>روشن است كه براى خالص كردن رويه‏هاى مطرح شده در اين مقاله، كارهاى زيادى بايد صورت گيرد؛ با اين حال نتايج مقدماتى گزارش شده در اين مقاله كاملاً دلگرم كننده است و به نظر نمى‏رسد، نسبت به قضاوتهاى ذهنى قبلى متفاوت كه در كاربرد اين متدلوژى اتخاذ كرده‏ايم، حساس باشد.</w:t>
      </w:r>
    </w:p>
    <w:p w:rsidR="006E38C5" w:rsidRDefault="006E38C5" w:rsidP="006E38C5">
      <w:pPr>
        <w:pStyle w:val="NormalWeb"/>
        <w:rPr>
          <w:rFonts w:ascii="Arabic Transparent" w:hAnsi="Arabic Transparent" w:cs="Arabic Transparent"/>
          <w:rtl/>
        </w:rPr>
      </w:pPr>
      <w:r>
        <w:rPr>
          <w:rFonts w:ascii="Arabic Transparent" w:hAnsi="Arabic Transparent" w:cs="Arabic Transparent"/>
          <w:rtl/>
        </w:rPr>
        <w:t>اندازه اقتصاد زيرزمينى مشاهده پذيرنيست. اما براى سياست‏گذاران مهم است، معيارهاى قابل اعتمادى از «اندازه»، روند و ويژگيهاى چرخه‏اى آن داشته باشند. تجديد علاقه سياست‏گذاران در كشورهاى پيشرفته در سالهاى اخير، كشف روشهاى بديل براى اندازگيرى اقتصاد زيرزمينى در سطح بين‏المللى را ضرورى ساخته است.</w:t>
      </w:r>
    </w:p>
    <w:p w:rsidR="006E38C5" w:rsidRDefault="006E38C5" w:rsidP="006E38C5">
      <w:pPr>
        <w:pStyle w:val="NormalWeb"/>
        <w:rPr>
          <w:rFonts w:ascii="Arabic Transparent" w:hAnsi="Arabic Transparent" w:cs="Arabic Transparent"/>
          <w:rtl/>
        </w:rPr>
      </w:pPr>
      <w:r>
        <w:rPr>
          <w:rFonts w:ascii="Arabic Transparent" w:hAnsi="Arabic Transparent" w:cs="Arabic Transparent"/>
          <w:rtl/>
        </w:rPr>
        <w:t>استفاده از نظريه مجموعه‏هاى فازى و منطق فازى در اين زمينه نوآورانه است و از جمله مى‏تواند ساير معيارهاى موجود را ارزيابى كند. براى گسترش اين تحليل به طرق گوناگون بويژه، مجموعه جامع‏ترى كه متغيرهاى علّى را دربر گيرد وتوابع عضويت رامورد بررسى قراردهد تلاشهايى در دست انجام است .سرانجام مى‏توان با استفاده از همين نوع تحليل، ساير متغيرهاى اقتصادى مورد توجه، اما ذاتا مشاهده‏ناپذير را، اندازگيرى كرد. به عنوان مثال مى‏توان از استفاده از ظرفيت وانتظارات و ساير انتظارات نام برد.</w:t>
      </w:r>
    </w:p>
    <w:p w:rsidR="006E38C5" w:rsidRDefault="006E38C5" w:rsidP="006E38C5">
      <w:pPr>
        <w:pStyle w:val="NormalWeb"/>
        <w:rPr>
          <w:rFonts w:ascii="Arabic Transparent" w:hAnsi="Arabic Transparent" w:cs="Arabic Transparent"/>
          <w:rtl/>
        </w:rPr>
      </w:pPr>
      <w:r>
        <w:rPr>
          <w:rFonts w:ascii="Arabic Transparent" w:hAnsi="Arabic Transparent" w:cs="Arabic Transparent"/>
          <w:noProof/>
        </w:rPr>
        <w:lastRenderedPageBreak/>
        <w:drawing>
          <wp:inline distT="0" distB="0" distL="0" distR="0">
            <wp:extent cx="4286885" cy="6466840"/>
            <wp:effectExtent l="19050" t="0" r="0" b="0"/>
            <wp:docPr id="134" name="Picture 134" descr="http://www.hawzah.net/Per/Magazine/NM/027/NM027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hawzah.net/Per/Magazine/NM/027/NM027071.JPG"/>
                    <pic:cNvPicPr>
                      <a:picLocks noChangeAspect="1" noChangeArrowheads="1"/>
                    </pic:cNvPicPr>
                  </pic:nvPicPr>
                  <pic:blipFill>
                    <a:blip r:embed="rId7"/>
                    <a:srcRect/>
                    <a:stretch>
                      <a:fillRect/>
                    </a:stretch>
                  </pic:blipFill>
                  <pic:spPr bwMode="auto">
                    <a:xfrm>
                      <a:off x="0" y="0"/>
                      <a:ext cx="4286885" cy="6466840"/>
                    </a:xfrm>
                    <a:prstGeom prst="rect">
                      <a:avLst/>
                    </a:prstGeom>
                    <a:noFill/>
                    <a:ln w="9525">
                      <a:noFill/>
                      <a:miter lim="800000"/>
                      <a:headEnd/>
                      <a:tailEnd/>
                    </a:ln>
                  </pic:spPr>
                </pic:pic>
              </a:graphicData>
            </a:graphic>
          </wp:inline>
        </w:drawing>
      </w:r>
    </w:p>
    <w:p w:rsidR="006E38C5" w:rsidRDefault="006E38C5" w:rsidP="006E38C5">
      <w:pPr>
        <w:pStyle w:val="NormalWeb"/>
        <w:rPr>
          <w:rFonts w:ascii="Arabic Transparent" w:hAnsi="Arabic Transparent" w:cs="Arabic Transparent"/>
          <w:rtl/>
        </w:rPr>
      </w:pPr>
      <w:r>
        <w:rPr>
          <w:rFonts w:ascii="Arabic Transparent" w:hAnsi="Arabic Transparent" w:cs="Arabic Transparent"/>
          <w:noProof/>
        </w:rPr>
        <w:lastRenderedPageBreak/>
        <w:drawing>
          <wp:inline distT="0" distB="0" distL="0" distR="0">
            <wp:extent cx="4286885" cy="6254750"/>
            <wp:effectExtent l="19050" t="0" r="0" b="0"/>
            <wp:docPr id="135" name="Picture 135" descr="http://www.hawzah.net/Per/Magazine/NM/027/NM027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hawzah.net/Per/Magazine/NM/027/NM027072.JPG"/>
                    <pic:cNvPicPr>
                      <a:picLocks noChangeAspect="1" noChangeArrowheads="1"/>
                    </pic:cNvPicPr>
                  </pic:nvPicPr>
                  <pic:blipFill>
                    <a:blip r:embed="rId8"/>
                    <a:srcRect/>
                    <a:stretch>
                      <a:fillRect/>
                    </a:stretch>
                  </pic:blipFill>
                  <pic:spPr bwMode="auto">
                    <a:xfrm>
                      <a:off x="0" y="0"/>
                      <a:ext cx="4286885" cy="6254750"/>
                    </a:xfrm>
                    <a:prstGeom prst="rect">
                      <a:avLst/>
                    </a:prstGeom>
                    <a:noFill/>
                    <a:ln w="9525">
                      <a:noFill/>
                      <a:miter lim="800000"/>
                      <a:headEnd/>
                      <a:tailEnd/>
                    </a:ln>
                  </pic:spPr>
                </pic:pic>
              </a:graphicData>
            </a:graphic>
          </wp:inline>
        </w:drawing>
      </w:r>
    </w:p>
    <w:p w:rsidR="006E38C5" w:rsidRDefault="006E38C5" w:rsidP="006E38C5">
      <w:pPr>
        <w:pStyle w:val="NormalWeb"/>
        <w:rPr>
          <w:rFonts w:ascii="Arabic Transparent" w:hAnsi="Arabic Transparent" w:cs="Arabic Transparent"/>
          <w:rtl/>
        </w:rPr>
      </w:pPr>
      <w:r>
        <w:rPr>
          <w:rFonts w:ascii="Arabic Transparent" w:hAnsi="Arabic Transparent" w:cs="Arabic Transparent"/>
          <w:noProof/>
        </w:rPr>
        <w:lastRenderedPageBreak/>
        <w:drawing>
          <wp:inline distT="0" distB="0" distL="0" distR="0">
            <wp:extent cx="4286885" cy="4316095"/>
            <wp:effectExtent l="19050" t="0" r="0" b="0"/>
            <wp:docPr id="136" name="Picture 136" descr="http://www.hawzah.net/Per/Magazine/NM/027/NM027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hawzah.net/Per/Magazine/NM/027/NM027073.JPG"/>
                    <pic:cNvPicPr>
                      <a:picLocks noChangeAspect="1" noChangeArrowheads="1"/>
                    </pic:cNvPicPr>
                  </pic:nvPicPr>
                  <pic:blipFill>
                    <a:blip r:embed="rId9"/>
                    <a:srcRect/>
                    <a:stretch>
                      <a:fillRect/>
                    </a:stretch>
                  </pic:blipFill>
                  <pic:spPr bwMode="auto">
                    <a:xfrm>
                      <a:off x="0" y="0"/>
                      <a:ext cx="4286885" cy="4316095"/>
                    </a:xfrm>
                    <a:prstGeom prst="rect">
                      <a:avLst/>
                    </a:prstGeom>
                    <a:noFill/>
                    <a:ln w="9525">
                      <a:noFill/>
                      <a:miter lim="800000"/>
                      <a:headEnd/>
                      <a:tailEnd/>
                    </a:ln>
                  </pic:spPr>
                </pic:pic>
              </a:graphicData>
            </a:graphic>
          </wp:inline>
        </w:drawing>
      </w:r>
    </w:p>
    <w:p w:rsidR="006E38C5" w:rsidRDefault="006E38C5" w:rsidP="006E38C5">
      <w:pPr>
        <w:pStyle w:val="NormalWeb"/>
        <w:rPr>
          <w:rFonts w:ascii="Arabic Transparent" w:hAnsi="Arabic Transparent" w:cs="Arabic Transparent"/>
          <w:rtl/>
        </w:rPr>
      </w:pPr>
      <w:r>
        <w:rPr>
          <w:rFonts w:ascii="Arabic Transparent" w:hAnsi="Arabic Transparent" w:cs="Arabic Transparent"/>
          <w:noProof/>
        </w:rPr>
        <w:lastRenderedPageBreak/>
        <w:drawing>
          <wp:inline distT="0" distB="0" distL="0" distR="0">
            <wp:extent cx="4286885" cy="5340350"/>
            <wp:effectExtent l="19050" t="0" r="0" b="0"/>
            <wp:docPr id="137" name="Picture 137" descr="http://www.hawzah.net/Per/Magazine/NM/027/NM027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www.hawzah.net/Per/Magazine/NM/027/NM027074.JPG"/>
                    <pic:cNvPicPr>
                      <a:picLocks noChangeAspect="1" noChangeArrowheads="1"/>
                    </pic:cNvPicPr>
                  </pic:nvPicPr>
                  <pic:blipFill>
                    <a:blip r:embed="rId10"/>
                    <a:srcRect/>
                    <a:stretch>
                      <a:fillRect/>
                    </a:stretch>
                  </pic:blipFill>
                  <pic:spPr bwMode="auto">
                    <a:xfrm>
                      <a:off x="0" y="0"/>
                      <a:ext cx="4286885" cy="5340350"/>
                    </a:xfrm>
                    <a:prstGeom prst="rect">
                      <a:avLst/>
                    </a:prstGeom>
                    <a:noFill/>
                    <a:ln w="9525">
                      <a:noFill/>
                      <a:miter lim="800000"/>
                      <a:headEnd/>
                      <a:tailEnd/>
                    </a:ln>
                  </pic:spPr>
                </pic:pic>
              </a:graphicData>
            </a:graphic>
          </wp:inline>
        </w:drawing>
      </w:r>
    </w:p>
    <w:p w:rsidR="006E38C5" w:rsidRDefault="006E38C5" w:rsidP="006E38C5">
      <w:pPr>
        <w:pStyle w:val="Heading4"/>
        <w:bidi/>
        <w:rPr>
          <w:rFonts w:ascii="Arabic Transparent" w:hAnsi="Arabic Transparent" w:cs="Arabic Transparent"/>
          <w:rtl/>
        </w:rPr>
      </w:pPr>
      <w:r>
        <w:rPr>
          <w:rFonts w:ascii="Arabic Transparent" w:hAnsi="Arabic Transparent" w:cs="Arabic Transparent"/>
          <w:rtl/>
        </w:rPr>
        <w:t>فهرست منابع</w:t>
      </w:r>
    </w:p>
    <w:p w:rsidR="006E38C5" w:rsidRDefault="006E38C5" w:rsidP="006E38C5">
      <w:pPr>
        <w:pStyle w:val="Heading4"/>
        <w:bidi/>
        <w:rPr>
          <w:rFonts w:ascii="Arabic Transparent" w:hAnsi="Arabic Transparent" w:cs="Arabic Transparent"/>
          <w:rtl/>
        </w:rPr>
      </w:pPr>
      <w:r>
        <w:rPr>
          <w:rFonts w:ascii="Arabic Transparent" w:hAnsi="Arabic Transparent" w:cs="Arabic Transparent"/>
          <w:rtl/>
        </w:rPr>
        <w:t xml:space="preserve">الف - فارسى </w:t>
      </w:r>
    </w:p>
    <w:p w:rsidR="006E38C5" w:rsidRDefault="006E38C5" w:rsidP="006E38C5">
      <w:pPr>
        <w:pStyle w:val="NormalWeb"/>
        <w:rPr>
          <w:rFonts w:ascii="Arabic Transparent" w:hAnsi="Arabic Transparent" w:cs="Arabic Transparent"/>
          <w:rtl/>
        </w:rPr>
      </w:pPr>
      <w:r>
        <w:rPr>
          <w:rFonts w:ascii="Arabic Transparent" w:hAnsi="Arabic Transparent" w:cs="Arabic Transparent"/>
          <w:rtl/>
        </w:rPr>
        <w:t>1- ارقامى، ناصر رضا، مرورى بر رگرسيونهاى فازى، گزارش سمينار مجموعه‏هاى مشكك و كاربرد آن، دانشگاه شهيد باهنر كرمان، 1372</w:t>
      </w:r>
    </w:p>
    <w:p w:rsidR="006E38C5" w:rsidRDefault="006E38C5" w:rsidP="006E38C5">
      <w:pPr>
        <w:pStyle w:val="NormalWeb"/>
        <w:rPr>
          <w:rFonts w:ascii="Arabic Transparent" w:hAnsi="Arabic Transparent" w:cs="Arabic Transparent"/>
          <w:rtl/>
        </w:rPr>
      </w:pPr>
      <w:r>
        <w:rPr>
          <w:rFonts w:ascii="Arabic Transparent" w:hAnsi="Arabic Transparent" w:cs="Arabic Transparent"/>
          <w:rtl/>
        </w:rPr>
        <w:t>2- اشرف زاده حميدرضا، تخمين حجم اقتصاد زير زمينى، مجموعه مقالات سمينار قاچاق، دانشگاه تربيت مدرس، 1378</w:t>
      </w:r>
    </w:p>
    <w:p w:rsidR="006E38C5" w:rsidRDefault="006E38C5" w:rsidP="006E38C5">
      <w:pPr>
        <w:pStyle w:val="NormalWeb"/>
        <w:rPr>
          <w:rFonts w:ascii="Arabic Transparent" w:hAnsi="Arabic Transparent" w:cs="Arabic Transparent"/>
          <w:rtl/>
        </w:rPr>
      </w:pPr>
      <w:r>
        <w:rPr>
          <w:rFonts w:ascii="Arabic Transparent" w:hAnsi="Arabic Transparent" w:cs="Arabic Transparent"/>
          <w:rtl/>
        </w:rPr>
        <w:t>3- باقرى، گرمارودى، اقتصادزير زمينى، تخمين وآثارآن بر كسرى بودجه وسرمايه گذارى بخش خصوصى طى سالهاى 1374-1350، پايان نامه كارشناسى ارشد، دانشگاه شهيد بهشتى، 1377</w:t>
      </w:r>
    </w:p>
    <w:p w:rsidR="006E38C5" w:rsidRDefault="006E38C5" w:rsidP="006E38C5">
      <w:pPr>
        <w:pStyle w:val="NormalWeb"/>
        <w:rPr>
          <w:rFonts w:ascii="Arabic Transparent" w:hAnsi="Arabic Transparent" w:cs="Arabic Transparent"/>
          <w:rtl/>
        </w:rPr>
      </w:pPr>
      <w:r>
        <w:rPr>
          <w:rFonts w:ascii="Arabic Transparent" w:hAnsi="Arabic Transparent" w:cs="Arabic Transparent"/>
          <w:rtl/>
        </w:rPr>
        <w:t>4- جواهردشتى، رضا، ديدگاهى نو درباره قابليت منطق فازى، تدبير، آذرماه 1375، ش68، صص 26-24</w:t>
      </w:r>
    </w:p>
    <w:p w:rsidR="006E38C5" w:rsidRDefault="006E38C5" w:rsidP="006E38C5">
      <w:pPr>
        <w:pStyle w:val="NormalWeb"/>
        <w:rPr>
          <w:rFonts w:ascii="Arabic Transparent" w:hAnsi="Arabic Transparent" w:cs="Arabic Transparent"/>
          <w:rtl/>
        </w:rPr>
      </w:pPr>
      <w:r>
        <w:rPr>
          <w:rFonts w:ascii="Arabic Transparent" w:hAnsi="Arabic Transparent" w:cs="Arabic Transparent"/>
          <w:rtl/>
        </w:rPr>
        <w:lastRenderedPageBreak/>
        <w:t>5- خلعت برى، فيروزه، اقتصادزيرزمينى، مجله رونق، سال اول، شماره 1، 2.</w:t>
      </w:r>
    </w:p>
    <w:p w:rsidR="006E38C5" w:rsidRDefault="006E38C5" w:rsidP="006E38C5">
      <w:pPr>
        <w:pStyle w:val="NormalWeb"/>
        <w:rPr>
          <w:rFonts w:ascii="Arabic Transparent" w:hAnsi="Arabic Transparent" w:cs="Arabic Transparent"/>
          <w:rtl/>
        </w:rPr>
      </w:pPr>
      <w:r>
        <w:rPr>
          <w:rFonts w:ascii="Arabic Transparent" w:hAnsi="Arabic Transparent" w:cs="Arabic Transparent"/>
          <w:rtl/>
        </w:rPr>
        <w:t>6- صيامى نمينى، سيما، ارزيابى نظام مالياتى كشوربا تاكيدبر بخش صنعت، اطلاعات سياسى اقتصادى 154-153، 1379</w:t>
      </w:r>
    </w:p>
    <w:p w:rsidR="006E38C5" w:rsidRDefault="006E38C5" w:rsidP="006E38C5">
      <w:pPr>
        <w:pStyle w:val="NormalWeb"/>
        <w:rPr>
          <w:rFonts w:ascii="Arabic Transparent" w:hAnsi="Arabic Transparent" w:cs="Arabic Transparent"/>
          <w:rtl/>
        </w:rPr>
      </w:pPr>
      <w:r>
        <w:rPr>
          <w:rFonts w:ascii="Arabic Transparent" w:hAnsi="Arabic Transparent" w:cs="Arabic Transparent"/>
          <w:rtl/>
        </w:rPr>
        <w:t>7- سازمان برنامه و بودجه، آمار سرى زمانى اقتصادى، اجتماعى، تا سال 1375، مركز مدارك اجتماعى اقتصادى 1376</w:t>
      </w:r>
    </w:p>
    <w:p w:rsidR="006E38C5" w:rsidRDefault="006E38C5" w:rsidP="006E38C5">
      <w:pPr>
        <w:pStyle w:val="NormalWeb"/>
        <w:rPr>
          <w:rFonts w:ascii="Arabic Transparent" w:hAnsi="Arabic Transparent" w:cs="Arabic Transparent"/>
          <w:rtl/>
        </w:rPr>
      </w:pPr>
      <w:r>
        <w:rPr>
          <w:rFonts w:ascii="Arabic Transparent" w:hAnsi="Arabic Transparent" w:cs="Arabic Transparent"/>
          <w:rtl/>
        </w:rPr>
        <w:t>8- طاهرى، سيدمحمود، آشنايى بانظريه مجموعه هاى فازى، جهاد دانشگاهى مشهد، 1378</w:t>
      </w:r>
    </w:p>
    <w:p w:rsidR="006E38C5" w:rsidRDefault="006E38C5" w:rsidP="006E38C5">
      <w:pPr>
        <w:pStyle w:val="NormalWeb"/>
        <w:rPr>
          <w:rFonts w:ascii="Arabic Transparent" w:hAnsi="Arabic Transparent" w:cs="Arabic Transparent"/>
          <w:rtl/>
        </w:rPr>
      </w:pPr>
      <w:r>
        <w:rPr>
          <w:rFonts w:ascii="Arabic Transparent" w:hAnsi="Arabic Transparent" w:cs="Arabic Transparent"/>
          <w:rtl/>
        </w:rPr>
        <w:t>9- طاهرفر، كورش، نقش فعاليتهاى زير زمينى در ايران با تاكيدبر انگيزه فرار مالياتى، پايان نامه كار شناسى ارشد، دانشگاه تهران، 1376</w:t>
      </w:r>
    </w:p>
    <w:p w:rsidR="006E38C5" w:rsidRDefault="006E38C5" w:rsidP="006E38C5">
      <w:pPr>
        <w:pStyle w:val="NormalWeb"/>
        <w:rPr>
          <w:rFonts w:ascii="Arabic Transparent" w:hAnsi="Arabic Transparent" w:cs="Arabic Transparent"/>
          <w:rtl/>
        </w:rPr>
      </w:pPr>
      <w:r>
        <w:rPr>
          <w:rFonts w:ascii="Arabic Transparent" w:hAnsi="Arabic Transparent" w:cs="Arabic Transparent"/>
          <w:rtl/>
        </w:rPr>
        <w:t>10- عادل آذر، سيستمهاى هوشمند اطلاعاتى مديريت ؛رويكرد فازى -عصبى، مجله مدرس، دانشگاه تربيت مدرس، 1377</w:t>
      </w:r>
    </w:p>
    <w:p w:rsidR="006E38C5" w:rsidRDefault="006E38C5" w:rsidP="006E38C5">
      <w:pPr>
        <w:pStyle w:val="NormalWeb"/>
        <w:rPr>
          <w:rFonts w:ascii="Arabic Transparent" w:hAnsi="Arabic Transparent" w:cs="Arabic Transparent"/>
          <w:rtl/>
        </w:rPr>
      </w:pPr>
      <w:r>
        <w:rPr>
          <w:rFonts w:ascii="Arabic Transparent" w:hAnsi="Arabic Transparent" w:cs="Arabic Transparent"/>
          <w:rtl/>
        </w:rPr>
        <w:t>11- كاسكو، تفكر فازى، ترجمه دكتر على غفارى، تهران، دانشگاه خواجه نصيرالدين طوسى، 1377</w:t>
      </w:r>
    </w:p>
    <w:p w:rsidR="006E38C5" w:rsidRDefault="006E38C5" w:rsidP="006E38C5">
      <w:pPr>
        <w:pStyle w:val="NormalWeb"/>
        <w:rPr>
          <w:rFonts w:ascii="Arabic Transparent" w:hAnsi="Arabic Transparent" w:cs="Arabic Transparent"/>
          <w:rtl/>
        </w:rPr>
      </w:pPr>
      <w:r>
        <w:rPr>
          <w:rFonts w:ascii="Arabic Transparent" w:hAnsi="Arabic Transparent" w:cs="Arabic Transparent"/>
          <w:rtl/>
        </w:rPr>
        <w:t xml:space="preserve">12- مركز آمار ايران، سالنامه‏هاى آمارى سالهاى مختلف، تهران، مركز آمار ايران </w:t>
      </w:r>
    </w:p>
    <w:p w:rsidR="006E38C5" w:rsidRDefault="006E38C5" w:rsidP="006E38C5">
      <w:pPr>
        <w:pStyle w:val="NormalWeb"/>
        <w:rPr>
          <w:rFonts w:ascii="Arabic Transparent" w:hAnsi="Arabic Transparent" w:cs="Arabic Transparent"/>
          <w:rtl/>
        </w:rPr>
      </w:pPr>
      <w:r>
        <w:rPr>
          <w:rFonts w:ascii="Arabic Transparent" w:hAnsi="Arabic Transparent" w:cs="Arabic Transparent"/>
          <w:rtl/>
        </w:rPr>
        <w:t>13- نيلى، مسعود، اقتصاد ايران، مؤسسه عالى پژوهش در برنامه ريزى وتوسعه سازمان برنامه وبودجه، 1376</w:t>
      </w:r>
    </w:p>
    <w:p w:rsidR="006E38C5" w:rsidRDefault="006E38C5" w:rsidP="006E38C5">
      <w:pPr>
        <w:pStyle w:val="Heading4"/>
        <w:bidi/>
        <w:rPr>
          <w:rFonts w:ascii="Arabic Transparent" w:hAnsi="Arabic Transparent" w:cs="Arabic Transparent"/>
          <w:rtl/>
        </w:rPr>
      </w:pPr>
      <w:r>
        <w:rPr>
          <w:rFonts w:ascii="Arabic Transparent" w:hAnsi="Arabic Transparent" w:cs="Arabic Transparent"/>
          <w:rtl/>
        </w:rPr>
        <w:t xml:space="preserve">ب - انگليسى </w:t>
      </w:r>
    </w:p>
    <w:p w:rsidR="006E38C5" w:rsidRDefault="006E38C5" w:rsidP="006E38C5">
      <w:pPr>
        <w:pStyle w:val="NormalWeb"/>
        <w:rPr>
          <w:rFonts w:ascii="Arabic Transparent" w:hAnsi="Arabic Transparent" w:cs="Arabic Transparent"/>
          <w:rtl/>
        </w:rPr>
      </w:pPr>
      <w:r>
        <w:rPr>
          <w:rFonts w:ascii="Arabic Transparent" w:hAnsi="Arabic Transparent" w:cs="Arabic Transparent"/>
          <w:rtl/>
        </w:rPr>
        <w:t>14-</w:t>
      </w:r>
      <w:proofErr w:type="spellStart"/>
      <w:r>
        <w:rPr>
          <w:rFonts w:ascii="Arabic Transparent" w:hAnsi="Arabic Transparent" w:cs="Arabic Transparent"/>
        </w:rPr>
        <w:t>Carogata,P.J,and</w:t>
      </w:r>
      <w:proofErr w:type="spellEnd"/>
      <w:r>
        <w:rPr>
          <w:rFonts w:ascii="Arabic Transparent" w:hAnsi="Arabic Transparent" w:cs="Arabic Transparent"/>
        </w:rPr>
        <w:t xml:space="preserve"> </w:t>
      </w:r>
      <w:proofErr w:type="spellStart"/>
      <w:r>
        <w:rPr>
          <w:rFonts w:ascii="Arabic Transparent" w:hAnsi="Arabic Transparent" w:cs="Arabic Transparent"/>
        </w:rPr>
        <w:t>D.E.A.Giles</w:t>
      </w:r>
      <w:proofErr w:type="spellEnd"/>
      <w:r>
        <w:rPr>
          <w:rFonts w:ascii="Arabic Transparent" w:hAnsi="Arabic Transparent" w:cs="Arabic Transparent"/>
        </w:rPr>
        <w:t xml:space="preserve"> </w:t>
      </w:r>
      <w:proofErr w:type="spellStart"/>
      <w:r>
        <w:rPr>
          <w:rFonts w:ascii="Arabic Transparent" w:hAnsi="Arabic Transparent" w:cs="Arabic Transparent"/>
        </w:rPr>
        <w:t>smiulating</w:t>
      </w:r>
      <w:proofErr w:type="spellEnd"/>
      <w:r>
        <w:rPr>
          <w:rFonts w:ascii="Arabic Transparent" w:hAnsi="Arabic Transparent" w:cs="Arabic Transparent"/>
        </w:rPr>
        <w:t xml:space="preserve"> the relationship between the</w:t>
      </w:r>
      <w:r>
        <w:rPr>
          <w:rFonts w:ascii="Arabic Transparent" w:hAnsi="Arabic Transparent" w:cs="Arabic Transparent"/>
          <w:rtl/>
        </w:rPr>
        <w:t xml:space="preserve"> </w:t>
      </w:r>
      <w:r>
        <w:rPr>
          <w:rFonts w:ascii="Arabic Transparent" w:hAnsi="Arabic Transparent" w:cs="Arabic Transparent"/>
        </w:rPr>
        <w:t xml:space="preserve">hidden economy and the tax level and tax mix in </w:t>
      </w:r>
      <w:proofErr w:type="spellStart"/>
      <w:r>
        <w:rPr>
          <w:rFonts w:ascii="Arabic Transparent" w:hAnsi="Arabic Transparent" w:cs="Arabic Transparent"/>
        </w:rPr>
        <w:t>newzeland</w:t>
      </w:r>
      <w:proofErr w:type="spellEnd"/>
      <w:r>
        <w:rPr>
          <w:rFonts w:ascii="Arabic Transparent" w:hAnsi="Arabic Transparent" w:cs="Arabic Transparent"/>
        </w:rPr>
        <w:t xml:space="preserve"> ,</w:t>
      </w:r>
      <w:proofErr w:type="spellStart"/>
      <w:r>
        <w:rPr>
          <w:rFonts w:ascii="Arabic Transparent" w:hAnsi="Arabic Transparent" w:cs="Arabic Transparent"/>
        </w:rPr>
        <w:t>Economtrics</w:t>
      </w:r>
      <w:proofErr w:type="spellEnd"/>
      <w:r>
        <w:rPr>
          <w:rFonts w:ascii="Arabic Transparent" w:hAnsi="Arabic Transparent" w:cs="Arabic Transparent"/>
        </w:rPr>
        <w:t xml:space="preserve"> working</w:t>
      </w:r>
      <w:r>
        <w:rPr>
          <w:rFonts w:ascii="Arabic Transparent" w:hAnsi="Arabic Transparent" w:cs="Arabic Transparent"/>
          <w:rtl/>
        </w:rPr>
        <w:t xml:space="preserve"> </w:t>
      </w:r>
      <w:r>
        <w:rPr>
          <w:rFonts w:ascii="Arabic Transparent" w:hAnsi="Arabic Transparent" w:cs="Arabic Transparent"/>
        </w:rPr>
        <w:t xml:space="preserve">paper.Ewp9804.Departemant of Economics university of </w:t>
      </w:r>
      <w:proofErr w:type="spellStart"/>
      <w:r>
        <w:rPr>
          <w:rFonts w:ascii="Arabic Transparent" w:hAnsi="Arabic Transparent" w:cs="Arabic Transparent"/>
        </w:rPr>
        <w:t>victoria,canada</w:t>
      </w:r>
      <w:proofErr w:type="spellEnd"/>
      <w:r>
        <w:rPr>
          <w:rFonts w:ascii="Arabic Transparent" w:hAnsi="Arabic Transparent" w:cs="Arabic Transparent"/>
          <w:rtl/>
        </w:rPr>
        <w:t>.</w:t>
      </w:r>
    </w:p>
    <w:p w:rsidR="006E38C5" w:rsidRDefault="006E38C5" w:rsidP="006E38C5">
      <w:pPr>
        <w:pStyle w:val="NormalWeb"/>
        <w:rPr>
          <w:rFonts w:ascii="Arabic Transparent" w:hAnsi="Arabic Transparent" w:cs="Arabic Transparent"/>
          <w:rtl/>
        </w:rPr>
      </w:pPr>
      <w:r>
        <w:rPr>
          <w:rFonts w:ascii="Arabic Transparent" w:hAnsi="Arabic Transparent" w:cs="Arabic Transparent"/>
          <w:rtl/>
        </w:rPr>
        <w:t>15-</w:t>
      </w:r>
      <w:r>
        <w:rPr>
          <w:rFonts w:ascii="Arabic Transparent" w:hAnsi="Arabic Transparent" w:cs="Arabic Transparent"/>
        </w:rPr>
        <w:t>Giles David E.A</w:t>
      </w:r>
      <w:r>
        <w:rPr>
          <w:rFonts w:ascii="Arabic Transparent" w:hAnsi="Arabic Transparent" w:cs="Arabic Transparent"/>
          <w:rtl/>
        </w:rPr>
        <w:t xml:space="preserve">.&amp; </w:t>
      </w:r>
      <w:proofErr w:type="spellStart"/>
      <w:r>
        <w:rPr>
          <w:rFonts w:ascii="Arabic Transparent" w:hAnsi="Arabic Transparent" w:cs="Arabic Transparent"/>
        </w:rPr>
        <w:t>Draeseke</w:t>
      </w:r>
      <w:proofErr w:type="spellEnd"/>
      <w:r>
        <w:rPr>
          <w:rFonts w:ascii="Arabic Transparent" w:hAnsi="Arabic Transparent" w:cs="Arabic Transparent"/>
        </w:rPr>
        <w:t xml:space="preserve"> </w:t>
      </w:r>
      <w:proofErr w:type="spellStart"/>
      <w:r>
        <w:rPr>
          <w:rFonts w:ascii="Arabic Transparent" w:hAnsi="Arabic Transparent" w:cs="Arabic Transparent"/>
        </w:rPr>
        <w:t>Robert,A</w:t>
      </w:r>
      <w:proofErr w:type="spellEnd"/>
      <w:r>
        <w:rPr>
          <w:rFonts w:ascii="Arabic Transparent" w:hAnsi="Arabic Transparent" w:cs="Arabic Transparent"/>
        </w:rPr>
        <w:t xml:space="preserve"> Fuzzy Logic Approach to </w:t>
      </w:r>
      <w:proofErr w:type="spellStart"/>
      <w:r>
        <w:rPr>
          <w:rFonts w:ascii="Arabic Transparent" w:hAnsi="Arabic Transparent" w:cs="Arabic Transparent"/>
        </w:rPr>
        <w:t>Modelling</w:t>
      </w:r>
      <w:proofErr w:type="spellEnd"/>
      <w:r>
        <w:rPr>
          <w:rFonts w:ascii="Arabic Transparent" w:hAnsi="Arabic Transparent" w:cs="Arabic Transparent"/>
          <w:rtl/>
        </w:rPr>
        <w:t xml:space="preserve"> </w:t>
      </w:r>
      <w:r>
        <w:rPr>
          <w:rFonts w:ascii="Arabic Transparent" w:hAnsi="Arabic Transparent" w:cs="Arabic Transparent"/>
        </w:rPr>
        <w:t xml:space="preserve">the underground </w:t>
      </w:r>
      <w:proofErr w:type="spellStart"/>
      <w:r>
        <w:rPr>
          <w:rFonts w:ascii="Arabic Transparent" w:hAnsi="Arabic Transparent" w:cs="Arabic Transparent"/>
        </w:rPr>
        <w:t>Economy,forthcoming</w:t>
      </w:r>
      <w:proofErr w:type="spellEnd"/>
      <w:r>
        <w:rPr>
          <w:rFonts w:ascii="Arabic Transparent" w:hAnsi="Arabic Transparent" w:cs="Arabic Transparent"/>
        </w:rPr>
        <w:t xml:space="preserve"> in Mathematics and Computers in</w:t>
      </w:r>
      <w:r>
        <w:rPr>
          <w:rFonts w:ascii="Arabic Transparent" w:hAnsi="Arabic Transparent" w:cs="Arabic Transparent"/>
          <w:rtl/>
        </w:rPr>
        <w:t xml:space="preserve"> </w:t>
      </w:r>
      <w:r>
        <w:rPr>
          <w:rFonts w:ascii="Arabic Transparent" w:hAnsi="Arabic Transparent" w:cs="Arabic Transparent"/>
        </w:rPr>
        <w:t>Simulation-2000</w:t>
      </w:r>
    </w:p>
    <w:p w:rsidR="006E38C5" w:rsidRDefault="006E38C5" w:rsidP="006E38C5">
      <w:pPr>
        <w:pStyle w:val="NormalWeb"/>
        <w:rPr>
          <w:rFonts w:ascii="Arabic Transparent" w:hAnsi="Arabic Transparent" w:cs="Arabic Transparent"/>
          <w:rtl/>
        </w:rPr>
      </w:pPr>
      <w:r>
        <w:rPr>
          <w:rFonts w:ascii="Arabic Transparent" w:hAnsi="Arabic Transparent" w:cs="Arabic Transparent"/>
          <w:rtl/>
        </w:rPr>
        <w:t>16-</w:t>
      </w:r>
      <w:proofErr w:type="spellStart"/>
      <w:r>
        <w:rPr>
          <w:rFonts w:ascii="Arabic Transparent" w:hAnsi="Arabic Transparent" w:cs="Arabic Transparent"/>
        </w:rPr>
        <w:t>Khalatbari,F.A</w:t>
      </w:r>
      <w:proofErr w:type="spellEnd"/>
      <w:r>
        <w:rPr>
          <w:rFonts w:ascii="Arabic Transparent" w:hAnsi="Arabic Transparent" w:cs="Arabic Transparent"/>
        </w:rPr>
        <w:t xml:space="preserve"> Study about the Nature and Dimensions of the Shadow Economy</w:t>
      </w:r>
      <w:r>
        <w:rPr>
          <w:rFonts w:ascii="Arabic Transparent" w:hAnsi="Arabic Transparent" w:cs="Arabic Transparent"/>
          <w:rtl/>
        </w:rPr>
        <w:t xml:space="preserve"> </w:t>
      </w:r>
      <w:r>
        <w:rPr>
          <w:rFonts w:ascii="Arabic Transparent" w:hAnsi="Arabic Transparent" w:cs="Arabic Transparent"/>
        </w:rPr>
        <w:t xml:space="preserve">in Islamic Republic of </w:t>
      </w:r>
      <w:proofErr w:type="spellStart"/>
      <w:r>
        <w:rPr>
          <w:rFonts w:ascii="Arabic Transparent" w:hAnsi="Arabic Transparent" w:cs="Arabic Transparent"/>
        </w:rPr>
        <w:t>Iran.Prepared</w:t>
      </w:r>
      <w:proofErr w:type="spellEnd"/>
      <w:r>
        <w:rPr>
          <w:rFonts w:ascii="Arabic Transparent" w:hAnsi="Arabic Transparent" w:cs="Arabic Transparent"/>
        </w:rPr>
        <w:t xml:space="preserve"> for UNDP.1994a</w:t>
      </w:r>
    </w:p>
    <w:p w:rsidR="006E38C5" w:rsidRDefault="006E38C5" w:rsidP="006E38C5">
      <w:pPr>
        <w:pStyle w:val="NormalWeb"/>
        <w:rPr>
          <w:rFonts w:ascii="Arabic Transparent" w:hAnsi="Arabic Transparent" w:cs="Arabic Transparent"/>
          <w:rtl/>
        </w:rPr>
      </w:pPr>
      <w:r>
        <w:rPr>
          <w:rFonts w:ascii="Arabic Transparent" w:hAnsi="Arabic Transparent" w:cs="Arabic Transparent"/>
          <w:rtl/>
        </w:rPr>
        <w:t>17-.....</w:t>
      </w:r>
      <w:proofErr w:type="spellStart"/>
      <w:r>
        <w:rPr>
          <w:rFonts w:ascii="Arabic Transparent" w:hAnsi="Arabic Transparent" w:cs="Arabic Transparent"/>
        </w:rPr>
        <w:t>Iran</w:t>
      </w:r>
      <w:proofErr w:type="gramStart"/>
      <w:r>
        <w:rPr>
          <w:rFonts w:ascii="Arabic Transparent" w:hAnsi="Arabic Transparent" w:cs="Arabic Transparent"/>
        </w:rPr>
        <w:t>:A</w:t>
      </w:r>
      <w:proofErr w:type="spellEnd"/>
      <w:proofErr w:type="gramEnd"/>
      <w:r>
        <w:rPr>
          <w:rFonts w:ascii="Arabic Transparent" w:hAnsi="Arabic Transparent" w:cs="Arabic Transparent"/>
        </w:rPr>
        <w:t xml:space="preserve"> </w:t>
      </w:r>
      <w:proofErr w:type="spellStart"/>
      <w:r>
        <w:rPr>
          <w:rFonts w:ascii="Arabic Transparent" w:hAnsi="Arabic Transparent" w:cs="Arabic Transparent"/>
        </w:rPr>
        <w:t>Uniq</w:t>
      </w:r>
      <w:proofErr w:type="spellEnd"/>
      <w:r>
        <w:rPr>
          <w:rFonts w:ascii="Arabic Transparent" w:hAnsi="Arabic Transparent" w:cs="Arabic Transparent"/>
        </w:rPr>
        <w:t xml:space="preserve"> Underground </w:t>
      </w:r>
      <w:proofErr w:type="spellStart"/>
      <w:r>
        <w:rPr>
          <w:rFonts w:ascii="Arabic Transparent" w:hAnsi="Arabic Transparent" w:cs="Arabic Transparent"/>
        </w:rPr>
        <w:t>Economy.in:the</w:t>
      </w:r>
      <w:proofErr w:type="spellEnd"/>
      <w:r>
        <w:rPr>
          <w:rFonts w:ascii="Arabic Transparent" w:hAnsi="Arabic Transparent" w:cs="Arabic Transparent"/>
        </w:rPr>
        <w:t xml:space="preserve"> Economy of Islamic IRAN</w:t>
      </w:r>
      <w:r>
        <w:rPr>
          <w:rFonts w:ascii="Arabic Transparent" w:hAnsi="Arabic Transparent" w:cs="Arabic Transparent"/>
          <w:rtl/>
        </w:rPr>
        <w:t xml:space="preserve">: </w:t>
      </w:r>
      <w:r>
        <w:rPr>
          <w:rFonts w:ascii="Arabic Transparent" w:hAnsi="Arabic Transparent" w:cs="Arabic Transparent"/>
        </w:rPr>
        <w:t xml:space="preserve">Between State and Market, Edited by </w:t>
      </w:r>
      <w:proofErr w:type="spellStart"/>
      <w:r>
        <w:rPr>
          <w:rFonts w:ascii="Arabic Transparent" w:hAnsi="Arabic Transparent" w:cs="Arabic Transparent"/>
        </w:rPr>
        <w:t>Coville</w:t>
      </w:r>
      <w:proofErr w:type="spellEnd"/>
      <w:r>
        <w:rPr>
          <w:rFonts w:ascii="Arabic Transparent" w:hAnsi="Arabic Transparent" w:cs="Arabic Transparent"/>
        </w:rPr>
        <w:t xml:space="preserve">, </w:t>
      </w:r>
      <w:proofErr w:type="spellStart"/>
      <w:r>
        <w:rPr>
          <w:rFonts w:ascii="Arabic Transparent" w:hAnsi="Arabic Transparent" w:cs="Arabic Transparent"/>
        </w:rPr>
        <w:t>T.Tehran</w:t>
      </w:r>
      <w:proofErr w:type="spellEnd"/>
      <w:r>
        <w:rPr>
          <w:rFonts w:ascii="Arabic Transparent" w:hAnsi="Arabic Transparent" w:cs="Arabic Transparent"/>
        </w:rPr>
        <w:t xml:space="preserve">: Institute </w:t>
      </w:r>
      <w:proofErr w:type="spellStart"/>
      <w:r>
        <w:rPr>
          <w:rFonts w:ascii="Arabic Transparent" w:hAnsi="Arabic Transparent" w:cs="Arabic Transparent"/>
        </w:rPr>
        <w:t>Francais</w:t>
      </w:r>
      <w:proofErr w:type="spellEnd"/>
      <w:r>
        <w:rPr>
          <w:rFonts w:ascii="Arabic Transparent" w:hAnsi="Arabic Transparent" w:cs="Arabic Transparent"/>
        </w:rPr>
        <w:t xml:space="preserve"> de</w:t>
      </w:r>
      <w:r>
        <w:rPr>
          <w:rFonts w:ascii="Arabic Transparent" w:hAnsi="Arabic Transparent" w:cs="Arabic Transparent"/>
          <w:rtl/>
        </w:rPr>
        <w:t xml:space="preserve"> </w:t>
      </w:r>
      <w:proofErr w:type="spellStart"/>
      <w:r>
        <w:rPr>
          <w:rFonts w:ascii="Arabic Transparent" w:hAnsi="Arabic Transparent" w:cs="Arabic Transparent"/>
        </w:rPr>
        <w:t>Recherche</w:t>
      </w:r>
      <w:proofErr w:type="spellEnd"/>
      <w:r>
        <w:rPr>
          <w:rFonts w:ascii="Arabic Transparent" w:hAnsi="Arabic Transparent" w:cs="Arabic Transparent"/>
        </w:rPr>
        <w:t xml:space="preserve"> en Iran,1994b</w:t>
      </w:r>
      <w:r>
        <w:rPr>
          <w:rFonts w:ascii="Arabic Transparent" w:hAnsi="Arabic Transparent" w:cs="Arabic Transparent"/>
          <w:rtl/>
        </w:rPr>
        <w:t>.</w:t>
      </w:r>
    </w:p>
    <w:p w:rsidR="006E38C5" w:rsidRDefault="006E38C5" w:rsidP="006E38C5">
      <w:pPr>
        <w:pStyle w:val="NormalWeb"/>
        <w:rPr>
          <w:rFonts w:ascii="Arabic Transparent" w:hAnsi="Arabic Transparent" w:cs="Arabic Transparent"/>
          <w:rtl/>
        </w:rPr>
      </w:pPr>
      <w:r>
        <w:rPr>
          <w:rFonts w:ascii="Arabic Transparent" w:hAnsi="Arabic Transparent" w:cs="Arabic Transparent"/>
          <w:rtl/>
        </w:rPr>
        <w:t>18-</w:t>
      </w:r>
      <w:proofErr w:type="spellStart"/>
      <w:r>
        <w:rPr>
          <w:rFonts w:ascii="Arabic Transparent" w:hAnsi="Arabic Transparent" w:cs="Arabic Transparent"/>
        </w:rPr>
        <w:t>Lindstrom,T.A,Fuzzy</w:t>
      </w:r>
      <w:proofErr w:type="spellEnd"/>
      <w:r>
        <w:rPr>
          <w:rFonts w:ascii="Arabic Transparent" w:hAnsi="Arabic Transparent" w:cs="Arabic Transparent"/>
        </w:rPr>
        <w:t xml:space="preserve"> Design </w:t>
      </w:r>
      <w:proofErr w:type="spellStart"/>
      <w:r>
        <w:rPr>
          <w:rFonts w:ascii="Arabic Transparent" w:hAnsi="Arabic Transparent" w:cs="Arabic Transparent"/>
        </w:rPr>
        <w:t>ofThe</w:t>
      </w:r>
      <w:proofErr w:type="spellEnd"/>
      <w:r>
        <w:rPr>
          <w:rFonts w:ascii="Arabic Transparent" w:hAnsi="Arabic Transparent" w:cs="Arabic Transparent"/>
        </w:rPr>
        <w:t xml:space="preserve"> Willingness to in </w:t>
      </w:r>
      <w:proofErr w:type="spellStart"/>
      <w:r>
        <w:rPr>
          <w:rFonts w:ascii="Arabic Transparent" w:hAnsi="Arabic Transparent" w:cs="Arabic Transparent"/>
        </w:rPr>
        <w:t>Sweden,Journal</w:t>
      </w:r>
      <w:proofErr w:type="spellEnd"/>
      <w:r>
        <w:rPr>
          <w:rFonts w:ascii="Arabic Transparent" w:hAnsi="Arabic Transparent" w:cs="Arabic Transparent"/>
        </w:rPr>
        <w:t xml:space="preserve"> of</w:t>
      </w:r>
      <w:r>
        <w:rPr>
          <w:rFonts w:ascii="Arabic Transparent" w:hAnsi="Arabic Transparent" w:cs="Arabic Transparent"/>
          <w:rtl/>
        </w:rPr>
        <w:t xml:space="preserve"> </w:t>
      </w:r>
      <w:r>
        <w:rPr>
          <w:rFonts w:ascii="Arabic Transparent" w:hAnsi="Arabic Transparent" w:cs="Arabic Transparent"/>
        </w:rPr>
        <w:t>Economic Behavior and Organization 36,1-17-1998</w:t>
      </w:r>
    </w:p>
    <w:p w:rsidR="006E38C5" w:rsidRDefault="006E38C5" w:rsidP="006E38C5">
      <w:pPr>
        <w:pStyle w:val="NormalWeb"/>
        <w:rPr>
          <w:rFonts w:ascii="Arabic Transparent" w:hAnsi="Arabic Transparent" w:cs="Arabic Transparent"/>
          <w:rtl/>
        </w:rPr>
      </w:pPr>
      <w:r>
        <w:rPr>
          <w:rFonts w:ascii="Arabic Transparent" w:hAnsi="Arabic Transparent" w:cs="Arabic Transparent"/>
          <w:rtl/>
        </w:rPr>
        <w:t>19-</w:t>
      </w:r>
      <w:r>
        <w:rPr>
          <w:rFonts w:ascii="Arabic Transparent" w:hAnsi="Arabic Transparent" w:cs="Arabic Transparent"/>
        </w:rPr>
        <w:t xml:space="preserve">Richardson, G ,the </w:t>
      </w:r>
      <w:proofErr w:type="spellStart"/>
      <w:r>
        <w:rPr>
          <w:rFonts w:ascii="Arabic Transparent" w:hAnsi="Arabic Transparent" w:cs="Arabic Transparent"/>
        </w:rPr>
        <w:t>Strachre</w:t>
      </w:r>
      <w:proofErr w:type="spellEnd"/>
      <w:r>
        <w:rPr>
          <w:rFonts w:ascii="Arabic Transparent" w:hAnsi="Arabic Transparent" w:cs="Arabic Transparent"/>
        </w:rPr>
        <w:t xml:space="preserve"> of fuzzy </w:t>
      </w:r>
      <w:proofErr w:type="spellStart"/>
      <w:r>
        <w:rPr>
          <w:rFonts w:ascii="Arabic Transparent" w:hAnsi="Arabic Transparent" w:cs="Arabic Transparent"/>
        </w:rPr>
        <w:t>peferences:social</w:t>
      </w:r>
      <w:proofErr w:type="spellEnd"/>
      <w:r>
        <w:rPr>
          <w:rFonts w:ascii="Arabic Transparent" w:hAnsi="Arabic Transparent" w:cs="Arabic Transparent"/>
        </w:rPr>
        <w:t xml:space="preserve"> choice implication</w:t>
      </w:r>
      <w:r>
        <w:rPr>
          <w:rFonts w:ascii="Arabic Transparent" w:hAnsi="Arabic Transparent" w:cs="Arabic Transparent"/>
          <w:rtl/>
        </w:rPr>
        <w:t xml:space="preserve">, </w:t>
      </w:r>
      <w:proofErr w:type="spellStart"/>
      <w:r>
        <w:rPr>
          <w:rFonts w:ascii="Arabic Transparent" w:hAnsi="Arabic Transparent" w:cs="Arabic Transparent"/>
        </w:rPr>
        <w:t>socialchoic</w:t>
      </w:r>
      <w:proofErr w:type="spellEnd"/>
      <w:r>
        <w:rPr>
          <w:rFonts w:ascii="Arabic Transparent" w:hAnsi="Arabic Transparent" w:cs="Arabic Transparent"/>
        </w:rPr>
        <w:t xml:space="preserve"> and Welfar,159559</w:t>
      </w:r>
    </w:p>
    <w:p w:rsidR="006E38C5" w:rsidRDefault="006E38C5" w:rsidP="006E38C5">
      <w:pPr>
        <w:pStyle w:val="NormalWeb"/>
        <w:rPr>
          <w:rFonts w:ascii="Arabic Transparent" w:hAnsi="Arabic Transparent" w:cs="Arabic Transparent"/>
          <w:rtl/>
        </w:rPr>
      </w:pPr>
      <w:r>
        <w:rPr>
          <w:rFonts w:ascii="Arabic Transparent" w:hAnsi="Arabic Transparent" w:cs="Arabic Transparent"/>
          <w:rtl/>
        </w:rPr>
        <w:lastRenderedPageBreak/>
        <w:t>20-</w:t>
      </w:r>
      <w:proofErr w:type="spellStart"/>
      <w:r>
        <w:rPr>
          <w:rFonts w:ascii="Arabic Transparent" w:hAnsi="Arabic Transparent" w:cs="Arabic Transparent"/>
        </w:rPr>
        <w:t>Trandel,G</w:t>
      </w:r>
      <w:proofErr w:type="spellEnd"/>
      <w:r>
        <w:rPr>
          <w:rFonts w:ascii="Arabic Transparent" w:hAnsi="Arabic Transparent" w:cs="Arabic Transparent"/>
        </w:rPr>
        <w:t xml:space="preserve">, and </w:t>
      </w:r>
      <w:proofErr w:type="spellStart"/>
      <w:r>
        <w:rPr>
          <w:rFonts w:ascii="Arabic Transparent" w:hAnsi="Arabic Transparent" w:cs="Arabic Transparent"/>
        </w:rPr>
        <w:t>Asnow,Progressive</w:t>
      </w:r>
      <w:proofErr w:type="spellEnd"/>
      <w:r>
        <w:rPr>
          <w:rFonts w:ascii="Arabic Transparent" w:hAnsi="Arabic Transparent" w:cs="Arabic Transparent"/>
        </w:rPr>
        <w:t xml:space="preserve"> </w:t>
      </w:r>
      <w:proofErr w:type="spellStart"/>
      <w:r>
        <w:rPr>
          <w:rFonts w:ascii="Arabic Transparent" w:hAnsi="Arabic Transparent" w:cs="Arabic Transparent"/>
        </w:rPr>
        <w:t>incom</w:t>
      </w:r>
      <w:proofErr w:type="spellEnd"/>
      <w:r>
        <w:rPr>
          <w:rFonts w:ascii="Arabic Transparent" w:hAnsi="Arabic Transparent" w:cs="Arabic Transparent"/>
        </w:rPr>
        <w:t xml:space="preserve"> taxation and the Underground</w:t>
      </w:r>
      <w:r>
        <w:rPr>
          <w:rFonts w:ascii="Arabic Transparent" w:hAnsi="Arabic Transparent" w:cs="Arabic Transparent"/>
          <w:rtl/>
        </w:rPr>
        <w:t xml:space="preserve"> </w:t>
      </w:r>
      <w:r>
        <w:rPr>
          <w:rFonts w:ascii="Arabic Transparent" w:hAnsi="Arabic Transparent" w:cs="Arabic Transparent"/>
        </w:rPr>
        <w:t>Economy .Economics Letters,62,217,222,1999</w:t>
      </w:r>
    </w:p>
    <w:p w:rsidR="006E38C5" w:rsidRDefault="006E38C5" w:rsidP="006E38C5">
      <w:pPr>
        <w:pStyle w:val="NormalWeb"/>
        <w:rPr>
          <w:rFonts w:ascii="Arabic Transparent" w:hAnsi="Arabic Transparent" w:cs="Arabic Transparent"/>
          <w:rtl/>
        </w:rPr>
      </w:pPr>
      <w:r>
        <w:rPr>
          <w:rFonts w:ascii="Arabic Transparent" w:hAnsi="Arabic Transparent" w:cs="Arabic Transparent"/>
          <w:rtl/>
        </w:rPr>
        <w:t>21-</w:t>
      </w:r>
      <w:proofErr w:type="spellStart"/>
      <w:r>
        <w:rPr>
          <w:rFonts w:ascii="Arabic Transparent" w:hAnsi="Arabic Transparent" w:cs="Arabic Transparent"/>
        </w:rPr>
        <w:t>zadeh,l,A,Fuzzy</w:t>
      </w:r>
      <w:proofErr w:type="spellEnd"/>
      <w:r>
        <w:rPr>
          <w:rFonts w:ascii="Arabic Transparent" w:hAnsi="Arabic Transparent" w:cs="Arabic Transparent"/>
        </w:rPr>
        <w:t xml:space="preserve"> set and </w:t>
      </w:r>
      <w:proofErr w:type="spellStart"/>
      <w:r>
        <w:rPr>
          <w:rFonts w:ascii="Arabic Transparent" w:hAnsi="Arabic Transparent" w:cs="Arabic Transparent"/>
        </w:rPr>
        <w:t>Applacations</w:t>
      </w:r>
      <w:proofErr w:type="spellEnd"/>
      <w:r>
        <w:rPr>
          <w:rFonts w:ascii="Arabic Transparent" w:hAnsi="Arabic Transparent" w:cs="Arabic Transparent"/>
        </w:rPr>
        <w:t xml:space="preserve"> Selected </w:t>
      </w:r>
      <w:proofErr w:type="spellStart"/>
      <w:r>
        <w:rPr>
          <w:rFonts w:ascii="Arabic Transparent" w:hAnsi="Arabic Transparent" w:cs="Arabic Transparent"/>
        </w:rPr>
        <w:t>paper,Wiley,New</w:t>
      </w:r>
      <w:proofErr w:type="spellEnd"/>
      <w:r>
        <w:rPr>
          <w:rFonts w:ascii="Arabic Transparent" w:hAnsi="Arabic Transparent" w:cs="Arabic Transparent"/>
          <w:rtl/>
        </w:rPr>
        <w:t xml:space="preserve"> </w:t>
      </w:r>
      <w:r>
        <w:rPr>
          <w:rFonts w:ascii="Arabic Transparent" w:hAnsi="Arabic Transparent" w:cs="Arabic Transparent"/>
        </w:rPr>
        <w:t>Yorc,1987</w:t>
      </w:r>
    </w:p>
    <w:p w:rsidR="006E38C5" w:rsidRDefault="006E38C5" w:rsidP="006E38C5">
      <w:pPr>
        <w:pStyle w:val="NormalWeb"/>
        <w:rPr>
          <w:rFonts w:ascii="Arabic Transparent" w:hAnsi="Arabic Transparent" w:cs="Arabic Transparent"/>
          <w:rtl/>
        </w:rPr>
      </w:pPr>
      <w:r>
        <w:rPr>
          <w:rFonts w:ascii="Arabic Transparent" w:hAnsi="Arabic Transparent" w:cs="Arabic Transparent"/>
          <w:rtl/>
        </w:rPr>
        <w:t>22-.........</w:t>
      </w:r>
      <w:r>
        <w:rPr>
          <w:rFonts w:ascii="Arabic Transparent" w:hAnsi="Arabic Transparent" w:cs="Arabic Transparent"/>
        </w:rPr>
        <w:t xml:space="preserve">Fuzzy </w:t>
      </w:r>
      <w:proofErr w:type="gramStart"/>
      <w:r>
        <w:rPr>
          <w:rFonts w:ascii="Arabic Transparent" w:hAnsi="Arabic Transparent" w:cs="Arabic Transparent"/>
        </w:rPr>
        <w:t>Sets ,information</w:t>
      </w:r>
      <w:proofErr w:type="gramEnd"/>
      <w:r>
        <w:rPr>
          <w:rFonts w:ascii="Arabic Transparent" w:hAnsi="Arabic Transparent" w:cs="Arabic Transparent"/>
        </w:rPr>
        <w:t xml:space="preserve"> and Control,338-553,1965</w:t>
      </w:r>
    </w:p>
    <w:p w:rsidR="006E38C5" w:rsidRDefault="006E38C5" w:rsidP="006E38C5">
      <w:pPr>
        <w:pStyle w:val="NormalWeb"/>
        <w:rPr>
          <w:rFonts w:ascii="Arabic Transparent" w:hAnsi="Arabic Transparent" w:cs="Arabic Transparent"/>
          <w:rtl/>
        </w:rPr>
      </w:pPr>
      <w:r>
        <w:rPr>
          <w:rFonts w:ascii="Arabic Transparent" w:hAnsi="Arabic Transparent" w:cs="Arabic Transparent"/>
          <w:rtl/>
        </w:rPr>
        <w:t>23-</w:t>
      </w:r>
      <w:proofErr w:type="spellStart"/>
      <w:r>
        <w:rPr>
          <w:rFonts w:ascii="Arabic Transparent" w:hAnsi="Arabic Transparent" w:cs="Arabic Transparent"/>
        </w:rPr>
        <w:t>Zimmerma,nn,H.j</w:t>
      </w:r>
      <w:proofErr w:type="spellEnd"/>
      <w:r>
        <w:rPr>
          <w:rFonts w:ascii="Arabic Transparent" w:hAnsi="Arabic Transparent" w:cs="Arabic Transparent"/>
        </w:rPr>
        <w:t xml:space="preserve"> Fuzzy set theory and </w:t>
      </w:r>
      <w:proofErr w:type="spellStart"/>
      <w:r>
        <w:rPr>
          <w:rFonts w:ascii="Arabic Transparent" w:hAnsi="Arabic Transparent" w:cs="Arabic Transparent"/>
        </w:rPr>
        <w:t>Application,kluwer</w:t>
      </w:r>
      <w:proofErr w:type="spellEnd"/>
      <w:r>
        <w:rPr>
          <w:rFonts w:ascii="Arabic Transparent" w:hAnsi="Arabic Transparent" w:cs="Arabic Transparent"/>
        </w:rPr>
        <w:t xml:space="preserve"> Academic</w:t>
      </w:r>
      <w:r>
        <w:rPr>
          <w:rFonts w:ascii="Arabic Transparent" w:hAnsi="Arabic Transparent" w:cs="Arabic Transparent"/>
          <w:rtl/>
        </w:rPr>
        <w:t xml:space="preserve"> </w:t>
      </w:r>
      <w:r>
        <w:rPr>
          <w:rFonts w:ascii="Arabic Transparent" w:hAnsi="Arabic Transparent" w:cs="Arabic Transparent"/>
        </w:rPr>
        <w:t>Publishers,Boston,1991</w:t>
      </w:r>
    </w:p>
    <w:p w:rsidR="006E38C5" w:rsidRDefault="006E38C5" w:rsidP="006E38C5">
      <w:pPr>
        <w:pStyle w:val="NormalWeb"/>
        <w:rPr>
          <w:rFonts w:ascii="Arabic Transparent" w:hAnsi="Arabic Transparent" w:cs="Arabic Transparent"/>
          <w:rtl/>
        </w:rPr>
      </w:pPr>
      <w:r>
        <w:rPr>
          <w:rFonts w:ascii="Arabic Transparent" w:hAnsi="Arabic Transparent" w:cs="Arabic Transparent"/>
        </w:rPr>
        <w:t>Abstract</w:t>
      </w:r>
    </w:p>
    <w:p w:rsidR="006E38C5" w:rsidRDefault="006E38C5" w:rsidP="006E38C5">
      <w:pPr>
        <w:pStyle w:val="NormalWeb"/>
        <w:rPr>
          <w:rFonts w:ascii="Arabic Transparent" w:hAnsi="Arabic Transparent" w:cs="Arabic Transparent"/>
          <w:rtl/>
        </w:rPr>
      </w:pPr>
      <w:r>
        <w:rPr>
          <w:rFonts w:ascii="Arabic Transparent" w:hAnsi="Arabic Transparent" w:cs="Arabic Transparent"/>
        </w:rPr>
        <w:t>The availability of date for the size of the underground economy is important</w:t>
      </w:r>
      <w:r>
        <w:rPr>
          <w:rFonts w:ascii="Arabic Transparent" w:hAnsi="Arabic Transparent" w:cs="Arabic Transparent"/>
          <w:rtl/>
        </w:rPr>
        <w:t xml:space="preserve"> </w:t>
      </w:r>
      <w:r>
        <w:rPr>
          <w:rFonts w:ascii="Arabic Transparent" w:hAnsi="Arabic Transparent" w:cs="Arabic Transparent"/>
        </w:rPr>
        <w:t xml:space="preserve">for macroeconomic </w:t>
      </w:r>
      <w:proofErr w:type="spellStart"/>
      <w:r>
        <w:rPr>
          <w:rFonts w:ascii="Arabic Transparent" w:hAnsi="Arabic Transparent" w:cs="Arabic Transparent"/>
        </w:rPr>
        <w:t>policy.We</w:t>
      </w:r>
      <w:proofErr w:type="spellEnd"/>
      <w:r>
        <w:rPr>
          <w:rFonts w:ascii="Arabic Transparent" w:hAnsi="Arabic Transparent" w:cs="Arabic Transparent"/>
        </w:rPr>
        <w:t xml:space="preserve"> use fuzzy set theory and fuzzy logic to construct an</w:t>
      </w:r>
      <w:r>
        <w:rPr>
          <w:rFonts w:ascii="Arabic Transparent" w:hAnsi="Arabic Transparent" w:cs="Arabic Transparent"/>
          <w:rtl/>
        </w:rPr>
        <w:t xml:space="preserve"> </w:t>
      </w:r>
      <w:r>
        <w:rPr>
          <w:rFonts w:ascii="Arabic Transparent" w:hAnsi="Arabic Transparent" w:cs="Arabic Transparent"/>
        </w:rPr>
        <w:t xml:space="preserve">annual time-series for </w:t>
      </w:r>
      <w:proofErr w:type="gramStart"/>
      <w:r>
        <w:rPr>
          <w:rFonts w:ascii="Arabic Transparent" w:hAnsi="Arabic Transparent" w:cs="Arabic Transparent"/>
        </w:rPr>
        <w:t>the(</w:t>
      </w:r>
      <w:proofErr w:type="gramEnd"/>
      <w:r>
        <w:rPr>
          <w:rFonts w:ascii="Arabic Transparent" w:hAnsi="Arabic Transparent" w:cs="Arabic Transparent"/>
        </w:rPr>
        <w:t>unobservable)Iran underground economy</w:t>
      </w:r>
      <w:r>
        <w:rPr>
          <w:rFonts w:ascii="Arabic Transparent" w:hAnsi="Arabic Transparent" w:cs="Arabic Transparent"/>
          <w:rtl/>
        </w:rPr>
        <w:t>&amp;</w:t>
      </w:r>
      <w:r>
        <w:rPr>
          <w:rFonts w:ascii="Arabic Transparent" w:hAnsi="Arabic Transparent" w:cs="Arabic Transparent"/>
        </w:rPr>
        <w:t xml:space="preserve">Tax </w:t>
      </w:r>
      <w:proofErr w:type="spellStart"/>
      <w:r>
        <w:rPr>
          <w:rFonts w:ascii="Arabic Transparent" w:hAnsi="Arabic Transparent" w:cs="Arabic Transparent"/>
        </w:rPr>
        <w:t>evison</w:t>
      </w:r>
      <w:proofErr w:type="spellEnd"/>
      <w:r>
        <w:rPr>
          <w:rFonts w:ascii="Arabic Transparent" w:hAnsi="Arabic Transparent" w:cs="Arabic Transparent"/>
          <w:rtl/>
        </w:rPr>
        <w:t xml:space="preserve"> </w:t>
      </w:r>
      <w:r>
        <w:rPr>
          <w:rFonts w:ascii="Arabic Transparent" w:hAnsi="Arabic Transparent" w:cs="Arabic Transparent"/>
        </w:rPr>
        <w:t xml:space="preserve">over the </w:t>
      </w:r>
      <w:proofErr w:type="spellStart"/>
      <w:r>
        <w:rPr>
          <w:rFonts w:ascii="Arabic Transparent" w:hAnsi="Arabic Transparent" w:cs="Arabic Transparent"/>
        </w:rPr>
        <w:t>priod</w:t>
      </w:r>
      <w:proofErr w:type="spellEnd"/>
      <w:r>
        <w:rPr>
          <w:rFonts w:ascii="Arabic Transparent" w:hAnsi="Arabic Transparent" w:cs="Arabic Transparent"/>
        </w:rPr>
        <w:t xml:space="preserve"> 1343 to 1378. </w:t>
      </w:r>
      <w:proofErr w:type="gramStart"/>
      <w:r>
        <w:rPr>
          <w:rFonts w:ascii="Arabic Transparent" w:hAnsi="Arabic Transparent" w:cs="Arabic Transparent"/>
        </w:rPr>
        <w:t>tow</w:t>
      </w:r>
      <w:proofErr w:type="gramEnd"/>
      <w:r>
        <w:rPr>
          <w:rFonts w:ascii="Arabic Transparent" w:hAnsi="Arabic Transparent" w:cs="Arabic Transparent"/>
        </w:rPr>
        <w:t xml:space="preserve"> input variables are used-the effective tax rate</w:t>
      </w:r>
      <w:r>
        <w:rPr>
          <w:rFonts w:ascii="Arabic Transparent" w:hAnsi="Arabic Transparent" w:cs="Arabic Transparent"/>
          <w:rtl/>
        </w:rPr>
        <w:t xml:space="preserve"> </w:t>
      </w:r>
      <w:r>
        <w:rPr>
          <w:rFonts w:ascii="Arabic Transparent" w:hAnsi="Arabic Transparent" w:cs="Arabic Transparent"/>
        </w:rPr>
        <w:t xml:space="preserve">and an index of the degree of </w:t>
      </w:r>
      <w:proofErr w:type="spellStart"/>
      <w:r>
        <w:rPr>
          <w:rFonts w:ascii="Arabic Transparent" w:hAnsi="Arabic Transparent" w:cs="Arabic Transparent"/>
        </w:rPr>
        <w:t>regulation.The</w:t>
      </w:r>
      <w:proofErr w:type="spellEnd"/>
      <w:r>
        <w:rPr>
          <w:rFonts w:ascii="Arabic Transparent" w:hAnsi="Arabic Transparent" w:cs="Arabic Transparent"/>
        </w:rPr>
        <w:t xml:space="preserve"> fuzzy logic approach to this</w:t>
      </w:r>
      <w:r>
        <w:rPr>
          <w:rFonts w:ascii="Arabic Transparent" w:hAnsi="Arabic Transparent" w:cs="Arabic Transparent"/>
          <w:rtl/>
        </w:rPr>
        <w:t xml:space="preserve"> </w:t>
      </w:r>
      <w:r>
        <w:rPr>
          <w:rFonts w:ascii="Arabic Transparent" w:hAnsi="Arabic Transparent" w:cs="Arabic Transparent"/>
        </w:rPr>
        <w:t xml:space="preserve">measurement problem involves several subjective </w:t>
      </w:r>
      <w:proofErr w:type="spellStart"/>
      <w:r>
        <w:rPr>
          <w:rFonts w:ascii="Arabic Transparent" w:hAnsi="Arabic Transparent" w:cs="Arabic Transparent"/>
        </w:rPr>
        <w:t>judgement,but</w:t>
      </w:r>
      <w:proofErr w:type="spellEnd"/>
      <w:r>
        <w:rPr>
          <w:rFonts w:ascii="Arabic Transparent" w:hAnsi="Arabic Transparent" w:cs="Arabic Transparent"/>
        </w:rPr>
        <w:t xml:space="preserve"> our results are</w:t>
      </w:r>
      <w:r>
        <w:rPr>
          <w:rFonts w:ascii="Arabic Transparent" w:hAnsi="Arabic Transparent" w:cs="Arabic Transparent"/>
          <w:rtl/>
        </w:rPr>
        <w:t xml:space="preserve"> </w:t>
      </w:r>
      <w:r>
        <w:rPr>
          <w:rFonts w:ascii="Arabic Transparent" w:hAnsi="Arabic Transparent" w:cs="Arabic Transparent"/>
        </w:rPr>
        <w:t>quite robust to these choices</w:t>
      </w:r>
    </w:p>
    <w:p w:rsidR="006E38C5" w:rsidRDefault="006E38C5" w:rsidP="006E38C5">
      <w:pPr>
        <w:pStyle w:val="NormalWeb"/>
        <w:rPr>
          <w:rFonts w:ascii="Arabic Transparent" w:hAnsi="Arabic Transparent" w:cs="Arabic Transparent"/>
          <w:rtl/>
        </w:rPr>
      </w:pPr>
      <w:proofErr w:type="spellStart"/>
      <w:r>
        <w:rPr>
          <w:rFonts w:ascii="Arabic Transparent" w:hAnsi="Arabic Transparent" w:cs="Arabic Transparent"/>
        </w:rPr>
        <w:t>KeyWord</w:t>
      </w:r>
      <w:proofErr w:type="gramStart"/>
      <w:r>
        <w:rPr>
          <w:rFonts w:ascii="Arabic Transparent" w:hAnsi="Arabic Transparent" w:cs="Arabic Transparent"/>
        </w:rPr>
        <w:t>:underground</w:t>
      </w:r>
      <w:proofErr w:type="spellEnd"/>
      <w:proofErr w:type="gramEnd"/>
      <w:r>
        <w:rPr>
          <w:rFonts w:ascii="Arabic Transparent" w:hAnsi="Arabic Transparent" w:cs="Arabic Transparent"/>
        </w:rPr>
        <w:t xml:space="preserve"> </w:t>
      </w:r>
      <w:proofErr w:type="spellStart"/>
      <w:r>
        <w:rPr>
          <w:rFonts w:ascii="Arabic Transparent" w:hAnsi="Arabic Transparent" w:cs="Arabic Transparent"/>
        </w:rPr>
        <w:t>Economy,Tax</w:t>
      </w:r>
      <w:proofErr w:type="spellEnd"/>
      <w:r>
        <w:rPr>
          <w:rFonts w:ascii="Arabic Transparent" w:hAnsi="Arabic Transparent" w:cs="Arabic Transparent"/>
        </w:rPr>
        <w:t xml:space="preserve"> </w:t>
      </w:r>
      <w:proofErr w:type="spellStart"/>
      <w:r>
        <w:rPr>
          <w:rFonts w:ascii="Arabic Transparent" w:hAnsi="Arabic Transparent" w:cs="Arabic Transparent"/>
        </w:rPr>
        <w:t>Evison,fuzzy</w:t>
      </w:r>
      <w:proofErr w:type="spellEnd"/>
      <w:r>
        <w:rPr>
          <w:rFonts w:ascii="Arabic Transparent" w:hAnsi="Arabic Transparent" w:cs="Arabic Transparent"/>
        </w:rPr>
        <w:t xml:space="preserve"> </w:t>
      </w:r>
      <w:proofErr w:type="spellStart"/>
      <w:r>
        <w:rPr>
          <w:rFonts w:ascii="Arabic Transparent" w:hAnsi="Arabic Transparent" w:cs="Arabic Transparent"/>
        </w:rPr>
        <w:t>set,fuzzy</w:t>
      </w:r>
      <w:proofErr w:type="spellEnd"/>
      <w:r>
        <w:rPr>
          <w:rFonts w:ascii="Arabic Transparent" w:hAnsi="Arabic Transparent" w:cs="Arabic Transparent"/>
        </w:rPr>
        <w:t xml:space="preserve"> </w:t>
      </w:r>
      <w:proofErr w:type="spellStart"/>
      <w:r>
        <w:rPr>
          <w:rFonts w:ascii="Arabic Transparent" w:hAnsi="Arabic Transparent" w:cs="Arabic Transparent"/>
        </w:rPr>
        <w:t>logic,effective</w:t>
      </w:r>
      <w:proofErr w:type="spellEnd"/>
      <w:r>
        <w:rPr>
          <w:rFonts w:ascii="Arabic Transparent" w:hAnsi="Arabic Transparent" w:cs="Arabic Transparent"/>
        </w:rPr>
        <w:t xml:space="preserve"> tax</w:t>
      </w:r>
      <w:r>
        <w:rPr>
          <w:rFonts w:ascii="Arabic Transparent" w:hAnsi="Arabic Transparent" w:cs="Arabic Transparent"/>
          <w:rtl/>
        </w:rPr>
        <w:t xml:space="preserve"> </w:t>
      </w:r>
      <w:proofErr w:type="spellStart"/>
      <w:r>
        <w:rPr>
          <w:rFonts w:ascii="Arabic Transparent" w:hAnsi="Arabic Transparent" w:cs="Arabic Transparent"/>
        </w:rPr>
        <w:t>rate,degree</w:t>
      </w:r>
      <w:proofErr w:type="spellEnd"/>
      <w:r>
        <w:rPr>
          <w:rFonts w:ascii="Arabic Transparent" w:hAnsi="Arabic Transparent" w:cs="Arabic Transparent"/>
        </w:rPr>
        <w:t xml:space="preserve"> of regulation</w:t>
      </w:r>
    </w:p>
    <w:p w:rsidR="006E38C5" w:rsidRDefault="006E38C5" w:rsidP="006E38C5">
      <w:pPr>
        <w:bidi/>
        <w:rPr>
          <w:rFonts w:ascii="Arabic Transparent" w:hAnsi="Arabic Transparent" w:cs="Arabic Transparent"/>
          <w:rtl/>
        </w:rPr>
      </w:pPr>
    </w:p>
    <w:p w:rsidR="006E38C5" w:rsidRDefault="006E38C5" w:rsidP="006E38C5">
      <w:pPr>
        <w:bidi/>
        <w:rPr>
          <w:rFonts w:ascii="Arabic Transparent" w:hAnsi="Arabic Transparent" w:cs="Arabic Transparent"/>
          <w:rtl/>
        </w:rPr>
      </w:pPr>
      <w:r>
        <w:rPr>
          <w:rFonts w:ascii="Arabic Transparent" w:hAnsi="Arabic Transparent" w:cs="Arabic Transparent"/>
        </w:rPr>
        <w:pict>
          <v:rect id="_x0000_i1025" style="width:140.4pt;height:1.5pt" o:hrpct="300" o:hralign="right" o:hrstd="t" o:hr="t" fillcolor="#a0a0a0" stroked="f"/>
        </w:pict>
      </w:r>
    </w:p>
    <w:p w:rsidR="006E38C5" w:rsidRDefault="006E38C5" w:rsidP="006E38C5">
      <w:pPr>
        <w:pStyle w:val="NormalWeb"/>
        <w:rPr>
          <w:rFonts w:ascii="Arabic Transparent" w:hAnsi="Arabic Transparent" w:cs="Arabic Transparent"/>
          <w:rtl/>
        </w:rPr>
      </w:pPr>
      <w:r>
        <w:rPr>
          <w:rFonts w:ascii="Arabic Transparent" w:hAnsi="Arabic Transparent" w:cs="Arabic Transparent"/>
          <w:rtl/>
        </w:rPr>
        <w:t xml:space="preserve">1- استاديار گروه اقتصاد دانشگاه تربيت مدرس </w:t>
      </w:r>
    </w:p>
    <w:p w:rsidR="006E38C5" w:rsidRDefault="006E38C5" w:rsidP="006E38C5">
      <w:pPr>
        <w:pStyle w:val="NormalWeb"/>
        <w:rPr>
          <w:rFonts w:ascii="Arabic Transparent" w:hAnsi="Arabic Transparent" w:cs="Arabic Transparent"/>
          <w:rtl/>
        </w:rPr>
      </w:pPr>
      <w:r>
        <w:rPr>
          <w:rFonts w:ascii="Arabic Transparent" w:hAnsi="Arabic Transparent" w:cs="Arabic Transparent"/>
          <w:rtl/>
        </w:rPr>
        <w:t xml:space="preserve">2- دانشجوى دوره دكترى دانشگاه تربيت مدرس </w:t>
      </w:r>
    </w:p>
    <w:p w:rsidR="006E38C5" w:rsidRDefault="006E38C5" w:rsidP="006E38C5">
      <w:pPr>
        <w:pStyle w:val="NormalWeb"/>
        <w:rPr>
          <w:rFonts w:ascii="Arabic Transparent" w:hAnsi="Arabic Transparent" w:cs="Arabic Transparent"/>
          <w:rtl/>
        </w:rPr>
      </w:pPr>
      <w:r>
        <w:rPr>
          <w:rFonts w:ascii="Arabic Transparent" w:hAnsi="Arabic Transparent" w:cs="Arabic Transparent"/>
          <w:rtl/>
        </w:rPr>
        <w:t>3 ـ براى مثال به كارگاتا و گيلز (1998 و 1999) اشنايدر و انست (1998) گيلز و جانسون (1999) تراندل و اسنو (1999) بعنوان مرجع نگاه كنيد.</w:t>
      </w:r>
    </w:p>
    <w:p w:rsidR="006E38C5" w:rsidRDefault="006E38C5" w:rsidP="006E38C5">
      <w:pPr>
        <w:pStyle w:val="NormalWeb"/>
        <w:rPr>
          <w:rFonts w:ascii="Arabic Transparent" w:hAnsi="Arabic Transparent" w:cs="Arabic Transparent"/>
          <w:rtl/>
        </w:rPr>
      </w:pPr>
      <w:r>
        <w:rPr>
          <w:rFonts w:ascii="Arabic Transparent" w:hAnsi="Arabic Transparent" w:cs="Arabic Transparent"/>
          <w:rtl/>
        </w:rPr>
        <w:t>4- شاخص مقررات براساس مجموعه‏اى از متغيرها از جمله اندازه دولت، بنگاههاى دولتى، كنترلهاى قيمتى، تورم، بازار سياه براى ارز، حقوق مالكيت بخش خصوصى، مقرارت و محدوديتهاى غيرتعرفه‏اى، اندازه بخش تجارت با استفاده از روش فازى ساخته شده است، كه شرح آن در مقاله ديگر از همين نويسنده آمده است.</w:t>
      </w:r>
    </w:p>
    <w:p w:rsidR="006E38C5" w:rsidRDefault="006E38C5" w:rsidP="006E38C5">
      <w:pPr>
        <w:pStyle w:val="NormalWeb"/>
        <w:rPr>
          <w:rFonts w:ascii="Arabic Transparent" w:hAnsi="Arabic Transparent" w:cs="Arabic Transparent"/>
          <w:rtl/>
        </w:rPr>
      </w:pPr>
      <w:r>
        <w:rPr>
          <w:rFonts w:ascii="Arabic Transparent" w:hAnsi="Arabic Transparent" w:cs="Arabic Transparent"/>
          <w:rtl/>
        </w:rPr>
        <w:t>5- شيوه تراز سرى شاخص بدست آمده براساس نتايج دو تحقيق عرب مازار (مدل چند شاخص چند علت) و اشرف‏زاده (مدل پولى شبساى) در يك سال كه نتيجه مشابه گزارش كرده‏اند و با ساير شواهد و مدارك سازگارى داشت صورت گرفته است.</w:t>
      </w:r>
    </w:p>
    <w:p w:rsidR="00B03E59" w:rsidRPr="006E38C5" w:rsidRDefault="00B03E59" w:rsidP="006E38C5"/>
    <w:sectPr w:rsidR="00B03E59" w:rsidRPr="006E38C5" w:rsidSect="00B03E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B3A7F"/>
    <w:rsid w:val="00000BD5"/>
    <w:rsid w:val="000A6B77"/>
    <w:rsid w:val="00156C49"/>
    <w:rsid w:val="0017239D"/>
    <w:rsid w:val="00221E7D"/>
    <w:rsid w:val="002C3083"/>
    <w:rsid w:val="002D5B18"/>
    <w:rsid w:val="00392C44"/>
    <w:rsid w:val="003C354A"/>
    <w:rsid w:val="00425405"/>
    <w:rsid w:val="004815CB"/>
    <w:rsid w:val="005676F5"/>
    <w:rsid w:val="00686210"/>
    <w:rsid w:val="006E38C5"/>
    <w:rsid w:val="00721B72"/>
    <w:rsid w:val="00782A0C"/>
    <w:rsid w:val="007F2F09"/>
    <w:rsid w:val="0084266E"/>
    <w:rsid w:val="008D4BE6"/>
    <w:rsid w:val="009A29CB"/>
    <w:rsid w:val="00AD53F1"/>
    <w:rsid w:val="00AE5CD5"/>
    <w:rsid w:val="00B03E59"/>
    <w:rsid w:val="00B741BF"/>
    <w:rsid w:val="00B85A2A"/>
    <w:rsid w:val="00C04D32"/>
    <w:rsid w:val="00C25C80"/>
    <w:rsid w:val="00C3688F"/>
    <w:rsid w:val="00CB3A7F"/>
    <w:rsid w:val="00E57669"/>
    <w:rsid w:val="00E84F4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E59"/>
  </w:style>
  <w:style w:type="paragraph" w:styleId="Heading2">
    <w:name w:val="heading 2"/>
    <w:basedOn w:val="Normal"/>
    <w:link w:val="Heading2Char"/>
    <w:uiPriority w:val="9"/>
    <w:qFormat/>
    <w:rsid w:val="00CB3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B3A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C308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C308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3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B3A7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B3A7F"/>
    <w:rPr>
      <w:b/>
      <w:bCs/>
      <w:strike w:val="0"/>
      <w:dstrike w:val="0"/>
      <w:color w:val="0000FF"/>
      <w:sz w:val="22"/>
      <w:szCs w:val="22"/>
      <w:u w:val="none"/>
      <w:effect w:val="none"/>
    </w:rPr>
  </w:style>
  <w:style w:type="paragraph" w:styleId="NormalWeb">
    <w:name w:val="Normal (Web)"/>
    <w:basedOn w:val="Normal"/>
    <w:uiPriority w:val="99"/>
    <w:semiHidden/>
    <w:unhideWhenUsed/>
    <w:rsid w:val="00CB3A7F"/>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CB3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A7F"/>
    <w:rPr>
      <w:rFonts w:ascii="Tahoma" w:hAnsi="Tahoma" w:cs="Tahoma"/>
      <w:sz w:val="16"/>
      <w:szCs w:val="16"/>
    </w:rPr>
  </w:style>
  <w:style w:type="character" w:customStyle="1" w:styleId="Heading4Char">
    <w:name w:val="Heading 4 Char"/>
    <w:basedOn w:val="DefaultParagraphFont"/>
    <w:link w:val="Heading4"/>
    <w:uiPriority w:val="9"/>
    <w:semiHidden/>
    <w:rsid w:val="002C308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C3083"/>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74521057">
      <w:bodyDiv w:val="1"/>
      <w:marLeft w:val="0"/>
      <w:marRight w:val="0"/>
      <w:marTop w:val="0"/>
      <w:marBottom w:val="0"/>
      <w:divBdr>
        <w:top w:val="none" w:sz="0" w:space="0" w:color="auto"/>
        <w:left w:val="none" w:sz="0" w:space="0" w:color="auto"/>
        <w:bottom w:val="none" w:sz="0" w:space="0" w:color="auto"/>
        <w:right w:val="none" w:sz="0" w:space="0" w:color="auto"/>
      </w:divBdr>
      <w:divsChild>
        <w:div w:id="31078374">
          <w:marLeft w:val="0"/>
          <w:marRight w:val="0"/>
          <w:marTop w:val="0"/>
          <w:marBottom w:val="0"/>
          <w:divBdr>
            <w:top w:val="none" w:sz="0" w:space="0" w:color="auto"/>
            <w:left w:val="none" w:sz="0" w:space="0" w:color="auto"/>
            <w:bottom w:val="none" w:sz="0" w:space="0" w:color="auto"/>
            <w:right w:val="none" w:sz="0" w:space="0" w:color="auto"/>
          </w:divBdr>
        </w:div>
        <w:div w:id="369840904">
          <w:marLeft w:val="0"/>
          <w:marRight w:val="0"/>
          <w:marTop w:val="0"/>
          <w:marBottom w:val="0"/>
          <w:divBdr>
            <w:top w:val="none" w:sz="0" w:space="0" w:color="auto"/>
            <w:left w:val="none" w:sz="0" w:space="0" w:color="auto"/>
            <w:bottom w:val="none" w:sz="0" w:space="0" w:color="auto"/>
            <w:right w:val="none" w:sz="0" w:space="0" w:color="auto"/>
          </w:divBdr>
        </w:div>
      </w:divsChild>
    </w:div>
    <w:div w:id="86073901">
      <w:bodyDiv w:val="1"/>
      <w:marLeft w:val="0"/>
      <w:marRight w:val="0"/>
      <w:marTop w:val="0"/>
      <w:marBottom w:val="0"/>
      <w:divBdr>
        <w:top w:val="none" w:sz="0" w:space="0" w:color="auto"/>
        <w:left w:val="none" w:sz="0" w:space="0" w:color="auto"/>
        <w:bottom w:val="none" w:sz="0" w:space="0" w:color="auto"/>
        <w:right w:val="none" w:sz="0" w:space="0" w:color="auto"/>
      </w:divBdr>
      <w:divsChild>
        <w:div w:id="6295463">
          <w:marLeft w:val="0"/>
          <w:marRight w:val="0"/>
          <w:marTop w:val="0"/>
          <w:marBottom w:val="0"/>
          <w:divBdr>
            <w:top w:val="none" w:sz="0" w:space="0" w:color="auto"/>
            <w:left w:val="none" w:sz="0" w:space="0" w:color="auto"/>
            <w:bottom w:val="none" w:sz="0" w:space="0" w:color="auto"/>
            <w:right w:val="none" w:sz="0" w:space="0" w:color="auto"/>
          </w:divBdr>
        </w:div>
        <w:div w:id="1968927285">
          <w:marLeft w:val="0"/>
          <w:marRight w:val="0"/>
          <w:marTop w:val="0"/>
          <w:marBottom w:val="0"/>
          <w:divBdr>
            <w:top w:val="none" w:sz="0" w:space="0" w:color="auto"/>
            <w:left w:val="none" w:sz="0" w:space="0" w:color="auto"/>
            <w:bottom w:val="none" w:sz="0" w:space="0" w:color="auto"/>
            <w:right w:val="none" w:sz="0" w:space="0" w:color="auto"/>
          </w:divBdr>
        </w:div>
      </w:divsChild>
    </w:div>
    <w:div w:id="248008130">
      <w:bodyDiv w:val="1"/>
      <w:marLeft w:val="0"/>
      <w:marRight w:val="0"/>
      <w:marTop w:val="0"/>
      <w:marBottom w:val="0"/>
      <w:divBdr>
        <w:top w:val="none" w:sz="0" w:space="0" w:color="auto"/>
        <w:left w:val="none" w:sz="0" w:space="0" w:color="auto"/>
        <w:bottom w:val="none" w:sz="0" w:space="0" w:color="auto"/>
        <w:right w:val="none" w:sz="0" w:space="0" w:color="auto"/>
      </w:divBdr>
      <w:divsChild>
        <w:div w:id="992218393">
          <w:marLeft w:val="0"/>
          <w:marRight w:val="0"/>
          <w:marTop w:val="0"/>
          <w:marBottom w:val="0"/>
          <w:divBdr>
            <w:top w:val="none" w:sz="0" w:space="0" w:color="auto"/>
            <w:left w:val="none" w:sz="0" w:space="0" w:color="auto"/>
            <w:bottom w:val="none" w:sz="0" w:space="0" w:color="auto"/>
            <w:right w:val="none" w:sz="0" w:space="0" w:color="auto"/>
          </w:divBdr>
        </w:div>
        <w:div w:id="2084797299">
          <w:marLeft w:val="0"/>
          <w:marRight w:val="0"/>
          <w:marTop w:val="0"/>
          <w:marBottom w:val="0"/>
          <w:divBdr>
            <w:top w:val="none" w:sz="0" w:space="0" w:color="auto"/>
            <w:left w:val="none" w:sz="0" w:space="0" w:color="auto"/>
            <w:bottom w:val="none" w:sz="0" w:space="0" w:color="auto"/>
            <w:right w:val="none" w:sz="0" w:space="0" w:color="auto"/>
          </w:divBdr>
        </w:div>
      </w:divsChild>
    </w:div>
    <w:div w:id="303779290">
      <w:bodyDiv w:val="1"/>
      <w:marLeft w:val="0"/>
      <w:marRight w:val="0"/>
      <w:marTop w:val="0"/>
      <w:marBottom w:val="0"/>
      <w:divBdr>
        <w:top w:val="none" w:sz="0" w:space="0" w:color="auto"/>
        <w:left w:val="none" w:sz="0" w:space="0" w:color="auto"/>
        <w:bottom w:val="none" w:sz="0" w:space="0" w:color="auto"/>
        <w:right w:val="none" w:sz="0" w:space="0" w:color="auto"/>
      </w:divBdr>
      <w:divsChild>
        <w:div w:id="1339038835">
          <w:marLeft w:val="0"/>
          <w:marRight w:val="0"/>
          <w:marTop w:val="0"/>
          <w:marBottom w:val="0"/>
          <w:divBdr>
            <w:top w:val="none" w:sz="0" w:space="0" w:color="auto"/>
            <w:left w:val="none" w:sz="0" w:space="0" w:color="auto"/>
            <w:bottom w:val="none" w:sz="0" w:space="0" w:color="auto"/>
            <w:right w:val="none" w:sz="0" w:space="0" w:color="auto"/>
          </w:divBdr>
        </w:div>
        <w:div w:id="1922056547">
          <w:marLeft w:val="0"/>
          <w:marRight w:val="0"/>
          <w:marTop w:val="0"/>
          <w:marBottom w:val="0"/>
          <w:divBdr>
            <w:top w:val="none" w:sz="0" w:space="0" w:color="auto"/>
            <w:left w:val="none" w:sz="0" w:space="0" w:color="auto"/>
            <w:bottom w:val="none" w:sz="0" w:space="0" w:color="auto"/>
            <w:right w:val="none" w:sz="0" w:space="0" w:color="auto"/>
          </w:divBdr>
        </w:div>
      </w:divsChild>
    </w:div>
    <w:div w:id="344553144">
      <w:bodyDiv w:val="1"/>
      <w:marLeft w:val="0"/>
      <w:marRight w:val="0"/>
      <w:marTop w:val="0"/>
      <w:marBottom w:val="0"/>
      <w:divBdr>
        <w:top w:val="none" w:sz="0" w:space="0" w:color="auto"/>
        <w:left w:val="none" w:sz="0" w:space="0" w:color="auto"/>
        <w:bottom w:val="none" w:sz="0" w:space="0" w:color="auto"/>
        <w:right w:val="none" w:sz="0" w:space="0" w:color="auto"/>
      </w:divBdr>
      <w:divsChild>
        <w:div w:id="1380397145">
          <w:marLeft w:val="0"/>
          <w:marRight w:val="0"/>
          <w:marTop w:val="0"/>
          <w:marBottom w:val="0"/>
          <w:divBdr>
            <w:top w:val="none" w:sz="0" w:space="0" w:color="auto"/>
            <w:left w:val="none" w:sz="0" w:space="0" w:color="auto"/>
            <w:bottom w:val="none" w:sz="0" w:space="0" w:color="auto"/>
            <w:right w:val="none" w:sz="0" w:space="0" w:color="auto"/>
          </w:divBdr>
        </w:div>
        <w:div w:id="1333337394">
          <w:marLeft w:val="0"/>
          <w:marRight w:val="0"/>
          <w:marTop w:val="0"/>
          <w:marBottom w:val="0"/>
          <w:divBdr>
            <w:top w:val="none" w:sz="0" w:space="0" w:color="auto"/>
            <w:left w:val="none" w:sz="0" w:space="0" w:color="auto"/>
            <w:bottom w:val="none" w:sz="0" w:space="0" w:color="auto"/>
            <w:right w:val="none" w:sz="0" w:space="0" w:color="auto"/>
          </w:divBdr>
        </w:div>
      </w:divsChild>
    </w:div>
    <w:div w:id="383455849">
      <w:bodyDiv w:val="1"/>
      <w:marLeft w:val="0"/>
      <w:marRight w:val="0"/>
      <w:marTop w:val="0"/>
      <w:marBottom w:val="0"/>
      <w:divBdr>
        <w:top w:val="none" w:sz="0" w:space="0" w:color="auto"/>
        <w:left w:val="none" w:sz="0" w:space="0" w:color="auto"/>
        <w:bottom w:val="none" w:sz="0" w:space="0" w:color="auto"/>
        <w:right w:val="none" w:sz="0" w:space="0" w:color="auto"/>
      </w:divBdr>
      <w:divsChild>
        <w:div w:id="1908803458">
          <w:marLeft w:val="0"/>
          <w:marRight w:val="0"/>
          <w:marTop w:val="0"/>
          <w:marBottom w:val="0"/>
          <w:divBdr>
            <w:top w:val="none" w:sz="0" w:space="0" w:color="auto"/>
            <w:left w:val="none" w:sz="0" w:space="0" w:color="auto"/>
            <w:bottom w:val="none" w:sz="0" w:space="0" w:color="auto"/>
            <w:right w:val="none" w:sz="0" w:space="0" w:color="auto"/>
          </w:divBdr>
        </w:div>
        <w:div w:id="421222573">
          <w:marLeft w:val="0"/>
          <w:marRight w:val="0"/>
          <w:marTop w:val="0"/>
          <w:marBottom w:val="0"/>
          <w:divBdr>
            <w:top w:val="none" w:sz="0" w:space="0" w:color="auto"/>
            <w:left w:val="none" w:sz="0" w:space="0" w:color="auto"/>
            <w:bottom w:val="none" w:sz="0" w:space="0" w:color="auto"/>
            <w:right w:val="none" w:sz="0" w:space="0" w:color="auto"/>
          </w:divBdr>
        </w:div>
      </w:divsChild>
    </w:div>
    <w:div w:id="384763254">
      <w:bodyDiv w:val="1"/>
      <w:marLeft w:val="0"/>
      <w:marRight w:val="0"/>
      <w:marTop w:val="0"/>
      <w:marBottom w:val="0"/>
      <w:divBdr>
        <w:top w:val="none" w:sz="0" w:space="0" w:color="auto"/>
        <w:left w:val="none" w:sz="0" w:space="0" w:color="auto"/>
        <w:bottom w:val="none" w:sz="0" w:space="0" w:color="auto"/>
        <w:right w:val="none" w:sz="0" w:space="0" w:color="auto"/>
      </w:divBdr>
      <w:divsChild>
        <w:div w:id="673801826">
          <w:marLeft w:val="0"/>
          <w:marRight w:val="0"/>
          <w:marTop w:val="0"/>
          <w:marBottom w:val="0"/>
          <w:divBdr>
            <w:top w:val="none" w:sz="0" w:space="0" w:color="auto"/>
            <w:left w:val="none" w:sz="0" w:space="0" w:color="auto"/>
            <w:bottom w:val="none" w:sz="0" w:space="0" w:color="auto"/>
            <w:right w:val="none" w:sz="0" w:space="0" w:color="auto"/>
          </w:divBdr>
        </w:div>
        <w:div w:id="1396272983">
          <w:marLeft w:val="0"/>
          <w:marRight w:val="0"/>
          <w:marTop w:val="0"/>
          <w:marBottom w:val="0"/>
          <w:divBdr>
            <w:top w:val="none" w:sz="0" w:space="0" w:color="auto"/>
            <w:left w:val="none" w:sz="0" w:space="0" w:color="auto"/>
            <w:bottom w:val="none" w:sz="0" w:space="0" w:color="auto"/>
            <w:right w:val="none" w:sz="0" w:space="0" w:color="auto"/>
          </w:divBdr>
        </w:div>
      </w:divsChild>
    </w:div>
    <w:div w:id="500855723">
      <w:bodyDiv w:val="1"/>
      <w:marLeft w:val="0"/>
      <w:marRight w:val="0"/>
      <w:marTop w:val="0"/>
      <w:marBottom w:val="0"/>
      <w:divBdr>
        <w:top w:val="none" w:sz="0" w:space="0" w:color="auto"/>
        <w:left w:val="none" w:sz="0" w:space="0" w:color="auto"/>
        <w:bottom w:val="none" w:sz="0" w:space="0" w:color="auto"/>
        <w:right w:val="none" w:sz="0" w:space="0" w:color="auto"/>
      </w:divBdr>
      <w:divsChild>
        <w:div w:id="1477525600">
          <w:marLeft w:val="0"/>
          <w:marRight w:val="0"/>
          <w:marTop w:val="0"/>
          <w:marBottom w:val="0"/>
          <w:divBdr>
            <w:top w:val="none" w:sz="0" w:space="0" w:color="auto"/>
            <w:left w:val="none" w:sz="0" w:space="0" w:color="auto"/>
            <w:bottom w:val="none" w:sz="0" w:space="0" w:color="auto"/>
            <w:right w:val="none" w:sz="0" w:space="0" w:color="auto"/>
          </w:divBdr>
        </w:div>
        <w:div w:id="720590708">
          <w:marLeft w:val="0"/>
          <w:marRight w:val="0"/>
          <w:marTop w:val="0"/>
          <w:marBottom w:val="0"/>
          <w:divBdr>
            <w:top w:val="none" w:sz="0" w:space="0" w:color="auto"/>
            <w:left w:val="none" w:sz="0" w:space="0" w:color="auto"/>
            <w:bottom w:val="none" w:sz="0" w:space="0" w:color="auto"/>
            <w:right w:val="none" w:sz="0" w:space="0" w:color="auto"/>
          </w:divBdr>
        </w:div>
      </w:divsChild>
    </w:div>
    <w:div w:id="555241904">
      <w:bodyDiv w:val="1"/>
      <w:marLeft w:val="0"/>
      <w:marRight w:val="0"/>
      <w:marTop w:val="0"/>
      <w:marBottom w:val="0"/>
      <w:divBdr>
        <w:top w:val="none" w:sz="0" w:space="0" w:color="auto"/>
        <w:left w:val="none" w:sz="0" w:space="0" w:color="auto"/>
        <w:bottom w:val="none" w:sz="0" w:space="0" w:color="auto"/>
        <w:right w:val="none" w:sz="0" w:space="0" w:color="auto"/>
      </w:divBdr>
      <w:divsChild>
        <w:div w:id="349726782">
          <w:marLeft w:val="0"/>
          <w:marRight w:val="0"/>
          <w:marTop w:val="0"/>
          <w:marBottom w:val="0"/>
          <w:divBdr>
            <w:top w:val="none" w:sz="0" w:space="0" w:color="auto"/>
            <w:left w:val="none" w:sz="0" w:space="0" w:color="auto"/>
            <w:bottom w:val="none" w:sz="0" w:space="0" w:color="auto"/>
            <w:right w:val="none" w:sz="0" w:space="0" w:color="auto"/>
          </w:divBdr>
        </w:div>
        <w:div w:id="662588245">
          <w:marLeft w:val="0"/>
          <w:marRight w:val="0"/>
          <w:marTop w:val="0"/>
          <w:marBottom w:val="0"/>
          <w:divBdr>
            <w:top w:val="none" w:sz="0" w:space="0" w:color="auto"/>
            <w:left w:val="none" w:sz="0" w:space="0" w:color="auto"/>
            <w:bottom w:val="none" w:sz="0" w:space="0" w:color="auto"/>
            <w:right w:val="none" w:sz="0" w:space="0" w:color="auto"/>
          </w:divBdr>
        </w:div>
      </w:divsChild>
    </w:div>
    <w:div w:id="556475705">
      <w:bodyDiv w:val="1"/>
      <w:marLeft w:val="0"/>
      <w:marRight w:val="0"/>
      <w:marTop w:val="0"/>
      <w:marBottom w:val="0"/>
      <w:divBdr>
        <w:top w:val="none" w:sz="0" w:space="0" w:color="auto"/>
        <w:left w:val="none" w:sz="0" w:space="0" w:color="auto"/>
        <w:bottom w:val="none" w:sz="0" w:space="0" w:color="auto"/>
        <w:right w:val="none" w:sz="0" w:space="0" w:color="auto"/>
      </w:divBdr>
      <w:divsChild>
        <w:div w:id="455415863">
          <w:marLeft w:val="0"/>
          <w:marRight w:val="0"/>
          <w:marTop w:val="0"/>
          <w:marBottom w:val="0"/>
          <w:divBdr>
            <w:top w:val="none" w:sz="0" w:space="0" w:color="auto"/>
            <w:left w:val="none" w:sz="0" w:space="0" w:color="auto"/>
            <w:bottom w:val="none" w:sz="0" w:space="0" w:color="auto"/>
            <w:right w:val="none" w:sz="0" w:space="0" w:color="auto"/>
          </w:divBdr>
        </w:div>
        <w:div w:id="1982540760">
          <w:marLeft w:val="0"/>
          <w:marRight w:val="0"/>
          <w:marTop w:val="0"/>
          <w:marBottom w:val="0"/>
          <w:divBdr>
            <w:top w:val="none" w:sz="0" w:space="0" w:color="auto"/>
            <w:left w:val="none" w:sz="0" w:space="0" w:color="auto"/>
            <w:bottom w:val="none" w:sz="0" w:space="0" w:color="auto"/>
            <w:right w:val="none" w:sz="0" w:space="0" w:color="auto"/>
          </w:divBdr>
        </w:div>
      </w:divsChild>
    </w:div>
    <w:div w:id="587034296">
      <w:bodyDiv w:val="1"/>
      <w:marLeft w:val="0"/>
      <w:marRight w:val="0"/>
      <w:marTop w:val="0"/>
      <w:marBottom w:val="0"/>
      <w:divBdr>
        <w:top w:val="none" w:sz="0" w:space="0" w:color="auto"/>
        <w:left w:val="none" w:sz="0" w:space="0" w:color="auto"/>
        <w:bottom w:val="none" w:sz="0" w:space="0" w:color="auto"/>
        <w:right w:val="none" w:sz="0" w:space="0" w:color="auto"/>
      </w:divBdr>
      <w:divsChild>
        <w:div w:id="563639734">
          <w:marLeft w:val="0"/>
          <w:marRight w:val="0"/>
          <w:marTop w:val="0"/>
          <w:marBottom w:val="0"/>
          <w:divBdr>
            <w:top w:val="none" w:sz="0" w:space="0" w:color="auto"/>
            <w:left w:val="none" w:sz="0" w:space="0" w:color="auto"/>
            <w:bottom w:val="none" w:sz="0" w:space="0" w:color="auto"/>
            <w:right w:val="none" w:sz="0" w:space="0" w:color="auto"/>
          </w:divBdr>
        </w:div>
        <w:div w:id="1950892291">
          <w:marLeft w:val="0"/>
          <w:marRight w:val="0"/>
          <w:marTop w:val="0"/>
          <w:marBottom w:val="0"/>
          <w:divBdr>
            <w:top w:val="none" w:sz="0" w:space="0" w:color="auto"/>
            <w:left w:val="none" w:sz="0" w:space="0" w:color="auto"/>
            <w:bottom w:val="none" w:sz="0" w:space="0" w:color="auto"/>
            <w:right w:val="none" w:sz="0" w:space="0" w:color="auto"/>
          </w:divBdr>
        </w:div>
      </w:divsChild>
    </w:div>
    <w:div w:id="592935199">
      <w:bodyDiv w:val="1"/>
      <w:marLeft w:val="0"/>
      <w:marRight w:val="0"/>
      <w:marTop w:val="0"/>
      <w:marBottom w:val="0"/>
      <w:divBdr>
        <w:top w:val="none" w:sz="0" w:space="0" w:color="auto"/>
        <w:left w:val="none" w:sz="0" w:space="0" w:color="auto"/>
        <w:bottom w:val="none" w:sz="0" w:space="0" w:color="auto"/>
        <w:right w:val="none" w:sz="0" w:space="0" w:color="auto"/>
      </w:divBdr>
      <w:divsChild>
        <w:div w:id="628901456">
          <w:marLeft w:val="0"/>
          <w:marRight w:val="0"/>
          <w:marTop w:val="0"/>
          <w:marBottom w:val="0"/>
          <w:divBdr>
            <w:top w:val="none" w:sz="0" w:space="0" w:color="auto"/>
            <w:left w:val="none" w:sz="0" w:space="0" w:color="auto"/>
            <w:bottom w:val="none" w:sz="0" w:space="0" w:color="auto"/>
            <w:right w:val="none" w:sz="0" w:space="0" w:color="auto"/>
          </w:divBdr>
        </w:div>
        <w:div w:id="417942154">
          <w:marLeft w:val="0"/>
          <w:marRight w:val="0"/>
          <w:marTop w:val="0"/>
          <w:marBottom w:val="0"/>
          <w:divBdr>
            <w:top w:val="none" w:sz="0" w:space="0" w:color="auto"/>
            <w:left w:val="none" w:sz="0" w:space="0" w:color="auto"/>
            <w:bottom w:val="none" w:sz="0" w:space="0" w:color="auto"/>
            <w:right w:val="none" w:sz="0" w:space="0" w:color="auto"/>
          </w:divBdr>
        </w:div>
      </w:divsChild>
    </w:div>
    <w:div w:id="635381441">
      <w:bodyDiv w:val="1"/>
      <w:marLeft w:val="0"/>
      <w:marRight w:val="0"/>
      <w:marTop w:val="0"/>
      <w:marBottom w:val="0"/>
      <w:divBdr>
        <w:top w:val="none" w:sz="0" w:space="0" w:color="auto"/>
        <w:left w:val="none" w:sz="0" w:space="0" w:color="auto"/>
        <w:bottom w:val="none" w:sz="0" w:space="0" w:color="auto"/>
        <w:right w:val="none" w:sz="0" w:space="0" w:color="auto"/>
      </w:divBdr>
      <w:divsChild>
        <w:div w:id="737480137">
          <w:marLeft w:val="0"/>
          <w:marRight w:val="0"/>
          <w:marTop w:val="0"/>
          <w:marBottom w:val="0"/>
          <w:divBdr>
            <w:top w:val="none" w:sz="0" w:space="0" w:color="auto"/>
            <w:left w:val="none" w:sz="0" w:space="0" w:color="auto"/>
            <w:bottom w:val="none" w:sz="0" w:space="0" w:color="auto"/>
            <w:right w:val="none" w:sz="0" w:space="0" w:color="auto"/>
          </w:divBdr>
        </w:div>
        <w:div w:id="1374421977">
          <w:marLeft w:val="0"/>
          <w:marRight w:val="0"/>
          <w:marTop w:val="0"/>
          <w:marBottom w:val="0"/>
          <w:divBdr>
            <w:top w:val="none" w:sz="0" w:space="0" w:color="auto"/>
            <w:left w:val="none" w:sz="0" w:space="0" w:color="auto"/>
            <w:bottom w:val="none" w:sz="0" w:space="0" w:color="auto"/>
            <w:right w:val="none" w:sz="0" w:space="0" w:color="auto"/>
          </w:divBdr>
        </w:div>
      </w:divsChild>
    </w:div>
    <w:div w:id="663708500">
      <w:bodyDiv w:val="1"/>
      <w:marLeft w:val="0"/>
      <w:marRight w:val="0"/>
      <w:marTop w:val="0"/>
      <w:marBottom w:val="0"/>
      <w:divBdr>
        <w:top w:val="none" w:sz="0" w:space="0" w:color="auto"/>
        <w:left w:val="none" w:sz="0" w:space="0" w:color="auto"/>
        <w:bottom w:val="none" w:sz="0" w:space="0" w:color="auto"/>
        <w:right w:val="none" w:sz="0" w:space="0" w:color="auto"/>
      </w:divBdr>
      <w:divsChild>
        <w:div w:id="1724138843">
          <w:marLeft w:val="0"/>
          <w:marRight w:val="0"/>
          <w:marTop w:val="0"/>
          <w:marBottom w:val="0"/>
          <w:divBdr>
            <w:top w:val="none" w:sz="0" w:space="0" w:color="auto"/>
            <w:left w:val="none" w:sz="0" w:space="0" w:color="auto"/>
            <w:bottom w:val="none" w:sz="0" w:space="0" w:color="auto"/>
            <w:right w:val="none" w:sz="0" w:space="0" w:color="auto"/>
          </w:divBdr>
        </w:div>
        <w:div w:id="1341154352">
          <w:marLeft w:val="0"/>
          <w:marRight w:val="0"/>
          <w:marTop w:val="0"/>
          <w:marBottom w:val="0"/>
          <w:divBdr>
            <w:top w:val="none" w:sz="0" w:space="0" w:color="auto"/>
            <w:left w:val="none" w:sz="0" w:space="0" w:color="auto"/>
            <w:bottom w:val="none" w:sz="0" w:space="0" w:color="auto"/>
            <w:right w:val="none" w:sz="0" w:space="0" w:color="auto"/>
          </w:divBdr>
        </w:div>
      </w:divsChild>
    </w:div>
    <w:div w:id="743377884">
      <w:bodyDiv w:val="1"/>
      <w:marLeft w:val="0"/>
      <w:marRight w:val="0"/>
      <w:marTop w:val="0"/>
      <w:marBottom w:val="0"/>
      <w:divBdr>
        <w:top w:val="none" w:sz="0" w:space="0" w:color="auto"/>
        <w:left w:val="none" w:sz="0" w:space="0" w:color="auto"/>
        <w:bottom w:val="none" w:sz="0" w:space="0" w:color="auto"/>
        <w:right w:val="none" w:sz="0" w:space="0" w:color="auto"/>
      </w:divBdr>
      <w:divsChild>
        <w:div w:id="1158114849">
          <w:marLeft w:val="0"/>
          <w:marRight w:val="0"/>
          <w:marTop w:val="0"/>
          <w:marBottom w:val="0"/>
          <w:divBdr>
            <w:top w:val="none" w:sz="0" w:space="0" w:color="auto"/>
            <w:left w:val="none" w:sz="0" w:space="0" w:color="auto"/>
            <w:bottom w:val="none" w:sz="0" w:space="0" w:color="auto"/>
            <w:right w:val="none" w:sz="0" w:space="0" w:color="auto"/>
          </w:divBdr>
        </w:div>
        <w:div w:id="87312924">
          <w:marLeft w:val="0"/>
          <w:marRight w:val="0"/>
          <w:marTop w:val="0"/>
          <w:marBottom w:val="0"/>
          <w:divBdr>
            <w:top w:val="none" w:sz="0" w:space="0" w:color="auto"/>
            <w:left w:val="none" w:sz="0" w:space="0" w:color="auto"/>
            <w:bottom w:val="none" w:sz="0" w:space="0" w:color="auto"/>
            <w:right w:val="none" w:sz="0" w:space="0" w:color="auto"/>
          </w:divBdr>
        </w:div>
      </w:divsChild>
    </w:div>
    <w:div w:id="789937030">
      <w:bodyDiv w:val="1"/>
      <w:marLeft w:val="0"/>
      <w:marRight w:val="0"/>
      <w:marTop w:val="0"/>
      <w:marBottom w:val="0"/>
      <w:divBdr>
        <w:top w:val="none" w:sz="0" w:space="0" w:color="auto"/>
        <w:left w:val="none" w:sz="0" w:space="0" w:color="auto"/>
        <w:bottom w:val="none" w:sz="0" w:space="0" w:color="auto"/>
        <w:right w:val="none" w:sz="0" w:space="0" w:color="auto"/>
      </w:divBdr>
      <w:divsChild>
        <w:div w:id="1423145450">
          <w:marLeft w:val="0"/>
          <w:marRight w:val="0"/>
          <w:marTop w:val="0"/>
          <w:marBottom w:val="0"/>
          <w:divBdr>
            <w:top w:val="none" w:sz="0" w:space="0" w:color="auto"/>
            <w:left w:val="none" w:sz="0" w:space="0" w:color="auto"/>
            <w:bottom w:val="none" w:sz="0" w:space="0" w:color="auto"/>
            <w:right w:val="none" w:sz="0" w:space="0" w:color="auto"/>
          </w:divBdr>
        </w:div>
        <w:div w:id="641009155">
          <w:marLeft w:val="0"/>
          <w:marRight w:val="0"/>
          <w:marTop w:val="0"/>
          <w:marBottom w:val="0"/>
          <w:divBdr>
            <w:top w:val="none" w:sz="0" w:space="0" w:color="auto"/>
            <w:left w:val="none" w:sz="0" w:space="0" w:color="auto"/>
            <w:bottom w:val="none" w:sz="0" w:space="0" w:color="auto"/>
            <w:right w:val="none" w:sz="0" w:space="0" w:color="auto"/>
          </w:divBdr>
        </w:div>
      </w:divsChild>
    </w:div>
    <w:div w:id="798647732">
      <w:bodyDiv w:val="1"/>
      <w:marLeft w:val="0"/>
      <w:marRight w:val="0"/>
      <w:marTop w:val="0"/>
      <w:marBottom w:val="0"/>
      <w:divBdr>
        <w:top w:val="none" w:sz="0" w:space="0" w:color="auto"/>
        <w:left w:val="none" w:sz="0" w:space="0" w:color="auto"/>
        <w:bottom w:val="none" w:sz="0" w:space="0" w:color="auto"/>
        <w:right w:val="none" w:sz="0" w:space="0" w:color="auto"/>
      </w:divBdr>
      <w:divsChild>
        <w:div w:id="1401320800">
          <w:marLeft w:val="0"/>
          <w:marRight w:val="0"/>
          <w:marTop w:val="0"/>
          <w:marBottom w:val="0"/>
          <w:divBdr>
            <w:top w:val="none" w:sz="0" w:space="0" w:color="auto"/>
            <w:left w:val="none" w:sz="0" w:space="0" w:color="auto"/>
            <w:bottom w:val="none" w:sz="0" w:space="0" w:color="auto"/>
            <w:right w:val="none" w:sz="0" w:space="0" w:color="auto"/>
          </w:divBdr>
        </w:div>
        <w:div w:id="167136776">
          <w:marLeft w:val="0"/>
          <w:marRight w:val="0"/>
          <w:marTop w:val="0"/>
          <w:marBottom w:val="0"/>
          <w:divBdr>
            <w:top w:val="none" w:sz="0" w:space="0" w:color="auto"/>
            <w:left w:val="none" w:sz="0" w:space="0" w:color="auto"/>
            <w:bottom w:val="none" w:sz="0" w:space="0" w:color="auto"/>
            <w:right w:val="none" w:sz="0" w:space="0" w:color="auto"/>
          </w:divBdr>
        </w:div>
      </w:divsChild>
    </w:div>
    <w:div w:id="839926534">
      <w:bodyDiv w:val="1"/>
      <w:marLeft w:val="0"/>
      <w:marRight w:val="0"/>
      <w:marTop w:val="0"/>
      <w:marBottom w:val="0"/>
      <w:divBdr>
        <w:top w:val="none" w:sz="0" w:space="0" w:color="auto"/>
        <w:left w:val="none" w:sz="0" w:space="0" w:color="auto"/>
        <w:bottom w:val="none" w:sz="0" w:space="0" w:color="auto"/>
        <w:right w:val="none" w:sz="0" w:space="0" w:color="auto"/>
      </w:divBdr>
      <w:divsChild>
        <w:div w:id="345911468">
          <w:marLeft w:val="0"/>
          <w:marRight w:val="0"/>
          <w:marTop w:val="0"/>
          <w:marBottom w:val="0"/>
          <w:divBdr>
            <w:top w:val="none" w:sz="0" w:space="0" w:color="auto"/>
            <w:left w:val="none" w:sz="0" w:space="0" w:color="auto"/>
            <w:bottom w:val="none" w:sz="0" w:space="0" w:color="auto"/>
            <w:right w:val="none" w:sz="0" w:space="0" w:color="auto"/>
          </w:divBdr>
        </w:div>
        <w:div w:id="1557475032">
          <w:marLeft w:val="0"/>
          <w:marRight w:val="0"/>
          <w:marTop w:val="0"/>
          <w:marBottom w:val="0"/>
          <w:divBdr>
            <w:top w:val="none" w:sz="0" w:space="0" w:color="auto"/>
            <w:left w:val="none" w:sz="0" w:space="0" w:color="auto"/>
            <w:bottom w:val="none" w:sz="0" w:space="0" w:color="auto"/>
            <w:right w:val="none" w:sz="0" w:space="0" w:color="auto"/>
          </w:divBdr>
        </w:div>
      </w:divsChild>
    </w:div>
    <w:div w:id="933822724">
      <w:bodyDiv w:val="1"/>
      <w:marLeft w:val="0"/>
      <w:marRight w:val="0"/>
      <w:marTop w:val="0"/>
      <w:marBottom w:val="0"/>
      <w:divBdr>
        <w:top w:val="none" w:sz="0" w:space="0" w:color="auto"/>
        <w:left w:val="none" w:sz="0" w:space="0" w:color="auto"/>
        <w:bottom w:val="none" w:sz="0" w:space="0" w:color="auto"/>
        <w:right w:val="none" w:sz="0" w:space="0" w:color="auto"/>
      </w:divBdr>
      <w:divsChild>
        <w:div w:id="1081875657">
          <w:marLeft w:val="0"/>
          <w:marRight w:val="0"/>
          <w:marTop w:val="0"/>
          <w:marBottom w:val="0"/>
          <w:divBdr>
            <w:top w:val="none" w:sz="0" w:space="0" w:color="auto"/>
            <w:left w:val="none" w:sz="0" w:space="0" w:color="auto"/>
            <w:bottom w:val="none" w:sz="0" w:space="0" w:color="auto"/>
            <w:right w:val="none" w:sz="0" w:space="0" w:color="auto"/>
          </w:divBdr>
        </w:div>
        <w:div w:id="1581982410">
          <w:marLeft w:val="0"/>
          <w:marRight w:val="0"/>
          <w:marTop w:val="0"/>
          <w:marBottom w:val="0"/>
          <w:divBdr>
            <w:top w:val="none" w:sz="0" w:space="0" w:color="auto"/>
            <w:left w:val="none" w:sz="0" w:space="0" w:color="auto"/>
            <w:bottom w:val="none" w:sz="0" w:space="0" w:color="auto"/>
            <w:right w:val="none" w:sz="0" w:space="0" w:color="auto"/>
          </w:divBdr>
        </w:div>
      </w:divsChild>
    </w:div>
    <w:div w:id="940525894">
      <w:bodyDiv w:val="1"/>
      <w:marLeft w:val="0"/>
      <w:marRight w:val="0"/>
      <w:marTop w:val="0"/>
      <w:marBottom w:val="0"/>
      <w:divBdr>
        <w:top w:val="none" w:sz="0" w:space="0" w:color="auto"/>
        <w:left w:val="none" w:sz="0" w:space="0" w:color="auto"/>
        <w:bottom w:val="none" w:sz="0" w:space="0" w:color="auto"/>
        <w:right w:val="none" w:sz="0" w:space="0" w:color="auto"/>
      </w:divBdr>
      <w:divsChild>
        <w:div w:id="1125853737">
          <w:marLeft w:val="0"/>
          <w:marRight w:val="0"/>
          <w:marTop w:val="0"/>
          <w:marBottom w:val="0"/>
          <w:divBdr>
            <w:top w:val="none" w:sz="0" w:space="0" w:color="auto"/>
            <w:left w:val="none" w:sz="0" w:space="0" w:color="auto"/>
            <w:bottom w:val="none" w:sz="0" w:space="0" w:color="auto"/>
            <w:right w:val="none" w:sz="0" w:space="0" w:color="auto"/>
          </w:divBdr>
        </w:div>
        <w:div w:id="217280241">
          <w:marLeft w:val="0"/>
          <w:marRight w:val="0"/>
          <w:marTop w:val="0"/>
          <w:marBottom w:val="0"/>
          <w:divBdr>
            <w:top w:val="none" w:sz="0" w:space="0" w:color="auto"/>
            <w:left w:val="none" w:sz="0" w:space="0" w:color="auto"/>
            <w:bottom w:val="none" w:sz="0" w:space="0" w:color="auto"/>
            <w:right w:val="none" w:sz="0" w:space="0" w:color="auto"/>
          </w:divBdr>
        </w:div>
      </w:divsChild>
    </w:div>
    <w:div w:id="998657014">
      <w:bodyDiv w:val="1"/>
      <w:marLeft w:val="0"/>
      <w:marRight w:val="0"/>
      <w:marTop w:val="0"/>
      <w:marBottom w:val="0"/>
      <w:divBdr>
        <w:top w:val="none" w:sz="0" w:space="0" w:color="auto"/>
        <w:left w:val="none" w:sz="0" w:space="0" w:color="auto"/>
        <w:bottom w:val="none" w:sz="0" w:space="0" w:color="auto"/>
        <w:right w:val="none" w:sz="0" w:space="0" w:color="auto"/>
      </w:divBdr>
      <w:divsChild>
        <w:div w:id="1295066730">
          <w:marLeft w:val="0"/>
          <w:marRight w:val="0"/>
          <w:marTop w:val="0"/>
          <w:marBottom w:val="0"/>
          <w:divBdr>
            <w:top w:val="none" w:sz="0" w:space="0" w:color="auto"/>
            <w:left w:val="none" w:sz="0" w:space="0" w:color="auto"/>
            <w:bottom w:val="none" w:sz="0" w:space="0" w:color="auto"/>
            <w:right w:val="none" w:sz="0" w:space="0" w:color="auto"/>
          </w:divBdr>
        </w:div>
        <w:div w:id="835341102">
          <w:marLeft w:val="0"/>
          <w:marRight w:val="0"/>
          <w:marTop w:val="0"/>
          <w:marBottom w:val="0"/>
          <w:divBdr>
            <w:top w:val="none" w:sz="0" w:space="0" w:color="auto"/>
            <w:left w:val="none" w:sz="0" w:space="0" w:color="auto"/>
            <w:bottom w:val="none" w:sz="0" w:space="0" w:color="auto"/>
            <w:right w:val="none" w:sz="0" w:space="0" w:color="auto"/>
          </w:divBdr>
        </w:div>
      </w:divsChild>
    </w:div>
    <w:div w:id="1017197133">
      <w:bodyDiv w:val="1"/>
      <w:marLeft w:val="0"/>
      <w:marRight w:val="0"/>
      <w:marTop w:val="0"/>
      <w:marBottom w:val="0"/>
      <w:divBdr>
        <w:top w:val="none" w:sz="0" w:space="0" w:color="auto"/>
        <w:left w:val="none" w:sz="0" w:space="0" w:color="auto"/>
        <w:bottom w:val="none" w:sz="0" w:space="0" w:color="auto"/>
        <w:right w:val="none" w:sz="0" w:space="0" w:color="auto"/>
      </w:divBdr>
      <w:divsChild>
        <w:div w:id="1714499553">
          <w:marLeft w:val="0"/>
          <w:marRight w:val="0"/>
          <w:marTop w:val="0"/>
          <w:marBottom w:val="0"/>
          <w:divBdr>
            <w:top w:val="none" w:sz="0" w:space="0" w:color="auto"/>
            <w:left w:val="none" w:sz="0" w:space="0" w:color="auto"/>
            <w:bottom w:val="none" w:sz="0" w:space="0" w:color="auto"/>
            <w:right w:val="none" w:sz="0" w:space="0" w:color="auto"/>
          </w:divBdr>
        </w:div>
        <w:div w:id="1597447005">
          <w:marLeft w:val="0"/>
          <w:marRight w:val="0"/>
          <w:marTop w:val="0"/>
          <w:marBottom w:val="0"/>
          <w:divBdr>
            <w:top w:val="none" w:sz="0" w:space="0" w:color="auto"/>
            <w:left w:val="none" w:sz="0" w:space="0" w:color="auto"/>
            <w:bottom w:val="none" w:sz="0" w:space="0" w:color="auto"/>
            <w:right w:val="none" w:sz="0" w:space="0" w:color="auto"/>
          </w:divBdr>
        </w:div>
      </w:divsChild>
    </w:div>
    <w:div w:id="1091777338">
      <w:bodyDiv w:val="1"/>
      <w:marLeft w:val="0"/>
      <w:marRight w:val="0"/>
      <w:marTop w:val="0"/>
      <w:marBottom w:val="0"/>
      <w:divBdr>
        <w:top w:val="none" w:sz="0" w:space="0" w:color="auto"/>
        <w:left w:val="none" w:sz="0" w:space="0" w:color="auto"/>
        <w:bottom w:val="none" w:sz="0" w:space="0" w:color="auto"/>
        <w:right w:val="none" w:sz="0" w:space="0" w:color="auto"/>
      </w:divBdr>
      <w:divsChild>
        <w:div w:id="1187714334">
          <w:marLeft w:val="0"/>
          <w:marRight w:val="0"/>
          <w:marTop w:val="0"/>
          <w:marBottom w:val="0"/>
          <w:divBdr>
            <w:top w:val="none" w:sz="0" w:space="0" w:color="auto"/>
            <w:left w:val="none" w:sz="0" w:space="0" w:color="auto"/>
            <w:bottom w:val="none" w:sz="0" w:space="0" w:color="auto"/>
            <w:right w:val="none" w:sz="0" w:space="0" w:color="auto"/>
          </w:divBdr>
        </w:div>
        <w:div w:id="1028487515">
          <w:marLeft w:val="0"/>
          <w:marRight w:val="0"/>
          <w:marTop w:val="0"/>
          <w:marBottom w:val="0"/>
          <w:divBdr>
            <w:top w:val="none" w:sz="0" w:space="0" w:color="auto"/>
            <w:left w:val="none" w:sz="0" w:space="0" w:color="auto"/>
            <w:bottom w:val="none" w:sz="0" w:space="0" w:color="auto"/>
            <w:right w:val="none" w:sz="0" w:space="0" w:color="auto"/>
          </w:divBdr>
        </w:div>
      </w:divsChild>
    </w:div>
    <w:div w:id="1193034594">
      <w:bodyDiv w:val="1"/>
      <w:marLeft w:val="0"/>
      <w:marRight w:val="0"/>
      <w:marTop w:val="0"/>
      <w:marBottom w:val="0"/>
      <w:divBdr>
        <w:top w:val="none" w:sz="0" w:space="0" w:color="auto"/>
        <w:left w:val="none" w:sz="0" w:space="0" w:color="auto"/>
        <w:bottom w:val="none" w:sz="0" w:space="0" w:color="auto"/>
        <w:right w:val="none" w:sz="0" w:space="0" w:color="auto"/>
      </w:divBdr>
      <w:divsChild>
        <w:div w:id="422068749">
          <w:marLeft w:val="0"/>
          <w:marRight w:val="0"/>
          <w:marTop w:val="0"/>
          <w:marBottom w:val="0"/>
          <w:divBdr>
            <w:top w:val="none" w:sz="0" w:space="0" w:color="auto"/>
            <w:left w:val="none" w:sz="0" w:space="0" w:color="auto"/>
            <w:bottom w:val="none" w:sz="0" w:space="0" w:color="auto"/>
            <w:right w:val="none" w:sz="0" w:space="0" w:color="auto"/>
          </w:divBdr>
        </w:div>
        <w:div w:id="395326036">
          <w:marLeft w:val="0"/>
          <w:marRight w:val="0"/>
          <w:marTop w:val="0"/>
          <w:marBottom w:val="0"/>
          <w:divBdr>
            <w:top w:val="none" w:sz="0" w:space="0" w:color="auto"/>
            <w:left w:val="none" w:sz="0" w:space="0" w:color="auto"/>
            <w:bottom w:val="none" w:sz="0" w:space="0" w:color="auto"/>
            <w:right w:val="none" w:sz="0" w:space="0" w:color="auto"/>
          </w:divBdr>
        </w:div>
      </w:divsChild>
    </w:div>
    <w:div w:id="1217932218">
      <w:bodyDiv w:val="1"/>
      <w:marLeft w:val="0"/>
      <w:marRight w:val="0"/>
      <w:marTop w:val="0"/>
      <w:marBottom w:val="0"/>
      <w:divBdr>
        <w:top w:val="none" w:sz="0" w:space="0" w:color="auto"/>
        <w:left w:val="none" w:sz="0" w:space="0" w:color="auto"/>
        <w:bottom w:val="none" w:sz="0" w:space="0" w:color="auto"/>
        <w:right w:val="none" w:sz="0" w:space="0" w:color="auto"/>
      </w:divBdr>
      <w:divsChild>
        <w:div w:id="1136146955">
          <w:marLeft w:val="0"/>
          <w:marRight w:val="0"/>
          <w:marTop w:val="0"/>
          <w:marBottom w:val="0"/>
          <w:divBdr>
            <w:top w:val="none" w:sz="0" w:space="0" w:color="auto"/>
            <w:left w:val="none" w:sz="0" w:space="0" w:color="auto"/>
            <w:bottom w:val="none" w:sz="0" w:space="0" w:color="auto"/>
            <w:right w:val="none" w:sz="0" w:space="0" w:color="auto"/>
          </w:divBdr>
        </w:div>
        <w:div w:id="1160848442">
          <w:marLeft w:val="0"/>
          <w:marRight w:val="0"/>
          <w:marTop w:val="0"/>
          <w:marBottom w:val="0"/>
          <w:divBdr>
            <w:top w:val="none" w:sz="0" w:space="0" w:color="auto"/>
            <w:left w:val="none" w:sz="0" w:space="0" w:color="auto"/>
            <w:bottom w:val="none" w:sz="0" w:space="0" w:color="auto"/>
            <w:right w:val="none" w:sz="0" w:space="0" w:color="auto"/>
          </w:divBdr>
        </w:div>
      </w:divsChild>
    </w:div>
    <w:div w:id="1267233099">
      <w:bodyDiv w:val="1"/>
      <w:marLeft w:val="0"/>
      <w:marRight w:val="0"/>
      <w:marTop w:val="0"/>
      <w:marBottom w:val="0"/>
      <w:divBdr>
        <w:top w:val="none" w:sz="0" w:space="0" w:color="auto"/>
        <w:left w:val="none" w:sz="0" w:space="0" w:color="auto"/>
        <w:bottom w:val="none" w:sz="0" w:space="0" w:color="auto"/>
        <w:right w:val="none" w:sz="0" w:space="0" w:color="auto"/>
      </w:divBdr>
      <w:divsChild>
        <w:div w:id="639573938">
          <w:marLeft w:val="0"/>
          <w:marRight w:val="0"/>
          <w:marTop w:val="0"/>
          <w:marBottom w:val="0"/>
          <w:divBdr>
            <w:top w:val="none" w:sz="0" w:space="0" w:color="auto"/>
            <w:left w:val="none" w:sz="0" w:space="0" w:color="auto"/>
            <w:bottom w:val="none" w:sz="0" w:space="0" w:color="auto"/>
            <w:right w:val="none" w:sz="0" w:space="0" w:color="auto"/>
          </w:divBdr>
        </w:div>
        <w:div w:id="247229399">
          <w:marLeft w:val="0"/>
          <w:marRight w:val="0"/>
          <w:marTop w:val="0"/>
          <w:marBottom w:val="0"/>
          <w:divBdr>
            <w:top w:val="none" w:sz="0" w:space="0" w:color="auto"/>
            <w:left w:val="none" w:sz="0" w:space="0" w:color="auto"/>
            <w:bottom w:val="none" w:sz="0" w:space="0" w:color="auto"/>
            <w:right w:val="none" w:sz="0" w:space="0" w:color="auto"/>
          </w:divBdr>
        </w:div>
      </w:divsChild>
    </w:div>
    <w:div w:id="1363437449">
      <w:bodyDiv w:val="1"/>
      <w:marLeft w:val="0"/>
      <w:marRight w:val="0"/>
      <w:marTop w:val="0"/>
      <w:marBottom w:val="0"/>
      <w:divBdr>
        <w:top w:val="none" w:sz="0" w:space="0" w:color="auto"/>
        <w:left w:val="none" w:sz="0" w:space="0" w:color="auto"/>
        <w:bottom w:val="none" w:sz="0" w:space="0" w:color="auto"/>
        <w:right w:val="none" w:sz="0" w:space="0" w:color="auto"/>
      </w:divBdr>
      <w:divsChild>
        <w:div w:id="1748724684">
          <w:marLeft w:val="0"/>
          <w:marRight w:val="0"/>
          <w:marTop w:val="0"/>
          <w:marBottom w:val="0"/>
          <w:divBdr>
            <w:top w:val="none" w:sz="0" w:space="0" w:color="auto"/>
            <w:left w:val="none" w:sz="0" w:space="0" w:color="auto"/>
            <w:bottom w:val="none" w:sz="0" w:space="0" w:color="auto"/>
            <w:right w:val="none" w:sz="0" w:space="0" w:color="auto"/>
          </w:divBdr>
        </w:div>
        <w:div w:id="438843248">
          <w:marLeft w:val="0"/>
          <w:marRight w:val="0"/>
          <w:marTop w:val="0"/>
          <w:marBottom w:val="0"/>
          <w:divBdr>
            <w:top w:val="none" w:sz="0" w:space="0" w:color="auto"/>
            <w:left w:val="none" w:sz="0" w:space="0" w:color="auto"/>
            <w:bottom w:val="none" w:sz="0" w:space="0" w:color="auto"/>
            <w:right w:val="none" w:sz="0" w:space="0" w:color="auto"/>
          </w:divBdr>
        </w:div>
      </w:divsChild>
    </w:div>
    <w:div w:id="1469204801">
      <w:bodyDiv w:val="1"/>
      <w:marLeft w:val="0"/>
      <w:marRight w:val="0"/>
      <w:marTop w:val="0"/>
      <w:marBottom w:val="0"/>
      <w:divBdr>
        <w:top w:val="none" w:sz="0" w:space="0" w:color="auto"/>
        <w:left w:val="none" w:sz="0" w:space="0" w:color="auto"/>
        <w:bottom w:val="none" w:sz="0" w:space="0" w:color="auto"/>
        <w:right w:val="none" w:sz="0" w:space="0" w:color="auto"/>
      </w:divBdr>
      <w:divsChild>
        <w:div w:id="990910483">
          <w:marLeft w:val="0"/>
          <w:marRight w:val="0"/>
          <w:marTop w:val="0"/>
          <w:marBottom w:val="0"/>
          <w:divBdr>
            <w:top w:val="none" w:sz="0" w:space="0" w:color="auto"/>
            <w:left w:val="none" w:sz="0" w:space="0" w:color="auto"/>
            <w:bottom w:val="none" w:sz="0" w:space="0" w:color="auto"/>
            <w:right w:val="none" w:sz="0" w:space="0" w:color="auto"/>
          </w:divBdr>
        </w:div>
        <w:div w:id="441539593">
          <w:marLeft w:val="0"/>
          <w:marRight w:val="0"/>
          <w:marTop w:val="0"/>
          <w:marBottom w:val="0"/>
          <w:divBdr>
            <w:top w:val="none" w:sz="0" w:space="0" w:color="auto"/>
            <w:left w:val="none" w:sz="0" w:space="0" w:color="auto"/>
            <w:bottom w:val="none" w:sz="0" w:space="0" w:color="auto"/>
            <w:right w:val="none" w:sz="0" w:space="0" w:color="auto"/>
          </w:divBdr>
        </w:div>
      </w:divsChild>
    </w:div>
    <w:div w:id="1493718677">
      <w:bodyDiv w:val="1"/>
      <w:marLeft w:val="0"/>
      <w:marRight w:val="0"/>
      <w:marTop w:val="0"/>
      <w:marBottom w:val="0"/>
      <w:divBdr>
        <w:top w:val="none" w:sz="0" w:space="0" w:color="auto"/>
        <w:left w:val="none" w:sz="0" w:space="0" w:color="auto"/>
        <w:bottom w:val="none" w:sz="0" w:space="0" w:color="auto"/>
        <w:right w:val="none" w:sz="0" w:space="0" w:color="auto"/>
      </w:divBdr>
      <w:divsChild>
        <w:div w:id="793525011">
          <w:marLeft w:val="0"/>
          <w:marRight w:val="0"/>
          <w:marTop w:val="0"/>
          <w:marBottom w:val="0"/>
          <w:divBdr>
            <w:top w:val="none" w:sz="0" w:space="0" w:color="auto"/>
            <w:left w:val="none" w:sz="0" w:space="0" w:color="auto"/>
            <w:bottom w:val="none" w:sz="0" w:space="0" w:color="auto"/>
            <w:right w:val="none" w:sz="0" w:space="0" w:color="auto"/>
          </w:divBdr>
        </w:div>
        <w:div w:id="1420059327">
          <w:marLeft w:val="0"/>
          <w:marRight w:val="0"/>
          <w:marTop w:val="0"/>
          <w:marBottom w:val="0"/>
          <w:divBdr>
            <w:top w:val="none" w:sz="0" w:space="0" w:color="auto"/>
            <w:left w:val="none" w:sz="0" w:space="0" w:color="auto"/>
            <w:bottom w:val="none" w:sz="0" w:space="0" w:color="auto"/>
            <w:right w:val="none" w:sz="0" w:space="0" w:color="auto"/>
          </w:divBdr>
        </w:div>
      </w:divsChild>
    </w:div>
    <w:div w:id="1711145755">
      <w:bodyDiv w:val="1"/>
      <w:marLeft w:val="0"/>
      <w:marRight w:val="0"/>
      <w:marTop w:val="0"/>
      <w:marBottom w:val="0"/>
      <w:divBdr>
        <w:top w:val="none" w:sz="0" w:space="0" w:color="auto"/>
        <w:left w:val="none" w:sz="0" w:space="0" w:color="auto"/>
        <w:bottom w:val="none" w:sz="0" w:space="0" w:color="auto"/>
        <w:right w:val="none" w:sz="0" w:space="0" w:color="auto"/>
      </w:divBdr>
      <w:divsChild>
        <w:div w:id="1720128284">
          <w:marLeft w:val="0"/>
          <w:marRight w:val="0"/>
          <w:marTop w:val="0"/>
          <w:marBottom w:val="0"/>
          <w:divBdr>
            <w:top w:val="none" w:sz="0" w:space="0" w:color="auto"/>
            <w:left w:val="none" w:sz="0" w:space="0" w:color="auto"/>
            <w:bottom w:val="none" w:sz="0" w:space="0" w:color="auto"/>
            <w:right w:val="none" w:sz="0" w:space="0" w:color="auto"/>
          </w:divBdr>
        </w:div>
        <w:div w:id="858549522">
          <w:marLeft w:val="0"/>
          <w:marRight w:val="0"/>
          <w:marTop w:val="0"/>
          <w:marBottom w:val="0"/>
          <w:divBdr>
            <w:top w:val="none" w:sz="0" w:space="0" w:color="auto"/>
            <w:left w:val="none" w:sz="0" w:space="0" w:color="auto"/>
            <w:bottom w:val="none" w:sz="0" w:space="0" w:color="auto"/>
            <w:right w:val="none" w:sz="0" w:space="0" w:color="auto"/>
          </w:divBdr>
        </w:div>
      </w:divsChild>
    </w:div>
    <w:div w:id="1821726460">
      <w:bodyDiv w:val="1"/>
      <w:marLeft w:val="0"/>
      <w:marRight w:val="0"/>
      <w:marTop w:val="0"/>
      <w:marBottom w:val="0"/>
      <w:divBdr>
        <w:top w:val="none" w:sz="0" w:space="0" w:color="auto"/>
        <w:left w:val="none" w:sz="0" w:space="0" w:color="auto"/>
        <w:bottom w:val="none" w:sz="0" w:space="0" w:color="auto"/>
        <w:right w:val="none" w:sz="0" w:space="0" w:color="auto"/>
      </w:divBdr>
      <w:divsChild>
        <w:div w:id="752892580">
          <w:marLeft w:val="0"/>
          <w:marRight w:val="0"/>
          <w:marTop w:val="0"/>
          <w:marBottom w:val="0"/>
          <w:divBdr>
            <w:top w:val="none" w:sz="0" w:space="0" w:color="auto"/>
            <w:left w:val="none" w:sz="0" w:space="0" w:color="auto"/>
            <w:bottom w:val="none" w:sz="0" w:space="0" w:color="auto"/>
            <w:right w:val="none" w:sz="0" w:space="0" w:color="auto"/>
          </w:divBdr>
        </w:div>
        <w:div w:id="799299366">
          <w:marLeft w:val="0"/>
          <w:marRight w:val="0"/>
          <w:marTop w:val="0"/>
          <w:marBottom w:val="0"/>
          <w:divBdr>
            <w:top w:val="none" w:sz="0" w:space="0" w:color="auto"/>
            <w:left w:val="none" w:sz="0" w:space="0" w:color="auto"/>
            <w:bottom w:val="none" w:sz="0" w:space="0" w:color="auto"/>
            <w:right w:val="none" w:sz="0" w:space="0" w:color="auto"/>
          </w:divBdr>
        </w:div>
      </w:divsChild>
    </w:div>
    <w:div w:id="2095784764">
      <w:bodyDiv w:val="1"/>
      <w:marLeft w:val="0"/>
      <w:marRight w:val="0"/>
      <w:marTop w:val="0"/>
      <w:marBottom w:val="0"/>
      <w:divBdr>
        <w:top w:val="none" w:sz="0" w:space="0" w:color="auto"/>
        <w:left w:val="none" w:sz="0" w:space="0" w:color="auto"/>
        <w:bottom w:val="none" w:sz="0" w:space="0" w:color="auto"/>
        <w:right w:val="none" w:sz="0" w:space="0" w:color="auto"/>
      </w:divBdr>
      <w:divsChild>
        <w:div w:id="744838521">
          <w:marLeft w:val="0"/>
          <w:marRight w:val="0"/>
          <w:marTop w:val="0"/>
          <w:marBottom w:val="0"/>
          <w:divBdr>
            <w:top w:val="none" w:sz="0" w:space="0" w:color="auto"/>
            <w:left w:val="none" w:sz="0" w:space="0" w:color="auto"/>
            <w:bottom w:val="none" w:sz="0" w:space="0" w:color="auto"/>
            <w:right w:val="none" w:sz="0" w:space="0" w:color="auto"/>
          </w:divBdr>
        </w:div>
        <w:div w:id="886113680">
          <w:marLeft w:val="0"/>
          <w:marRight w:val="0"/>
          <w:marTop w:val="0"/>
          <w:marBottom w:val="0"/>
          <w:divBdr>
            <w:top w:val="none" w:sz="0" w:space="0" w:color="auto"/>
            <w:left w:val="none" w:sz="0" w:space="0" w:color="auto"/>
            <w:bottom w:val="none" w:sz="0" w:space="0" w:color="auto"/>
            <w:right w:val="none" w:sz="0" w:space="0" w:color="auto"/>
          </w:divBdr>
        </w:div>
      </w:divsChild>
    </w:div>
    <w:div w:id="2138064975">
      <w:bodyDiv w:val="1"/>
      <w:marLeft w:val="0"/>
      <w:marRight w:val="0"/>
      <w:marTop w:val="0"/>
      <w:marBottom w:val="0"/>
      <w:divBdr>
        <w:top w:val="none" w:sz="0" w:space="0" w:color="auto"/>
        <w:left w:val="none" w:sz="0" w:space="0" w:color="auto"/>
        <w:bottom w:val="none" w:sz="0" w:space="0" w:color="auto"/>
        <w:right w:val="none" w:sz="0" w:space="0" w:color="auto"/>
      </w:divBdr>
      <w:divsChild>
        <w:div w:id="915437423">
          <w:marLeft w:val="0"/>
          <w:marRight w:val="0"/>
          <w:marTop w:val="0"/>
          <w:marBottom w:val="0"/>
          <w:divBdr>
            <w:top w:val="none" w:sz="0" w:space="0" w:color="auto"/>
            <w:left w:val="none" w:sz="0" w:space="0" w:color="auto"/>
            <w:bottom w:val="none" w:sz="0" w:space="0" w:color="auto"/>
            <w:right w:val="none" w:sz="0" w:space="0" w:color="auto"/>
          </w:divBdr>
        </w:div>
        <w:div w:id="2105568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16</Pages>
  <Words>4201</Words>
  <Characters>23950</Characters>
  <Application>Microsoft Office Word</Application>
  <DocSecurity>0</DocSecurity>
  <Lines>199</Lines>
  <Paragraphs>56</Paragraphs>
  <ScaleCrop>false</ScaleCrop>
  <Company>MRT www.Win2Farsi.com</Company>
  <LinksUpToDate>false</LinksUpToDate>
  <CharactersWithSpaces>28095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2</cp:revision>
  <dcterms:created xsi:type="dcterms:W3CDTF">2010-08-16T09:20:00Z</dcterms:created>
  <dcterms:modified xsi:type="dcterms:W3CDTF">2010-08-16T09:20:00Z</dcterms:modified>
</cp:coreProperties>
</file>