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2CE" w:rsidRPr="003F22CE" w:rsidRDefault="003F22CE" w:rsidP="003F22CE">
      <w:pPr>
        <w:bidi/>
        <w:spacing w:before="100" w:beforeAutospacing="1" w:after="100" w:afterAutospacing="1" w:line="240" w:lineRule="auto"/>
        <w:rPr>
          <w:rFonts w:ascii="Arabic Transparent" w:eastAsia="Times New Roman" w:hAnsi="Arabic Transparent" w:cs="Arabic Transparent"/>
          <w:b/>
          <w:bCs/>
          <w:sz w:val="24"/>
          <w:szCs w:val="24"/>
          <w:rtl/>
        </w:rPr>
      </w:pPr>
    </w:p>
    <w:p w:rsidR="003F22CE" w:rsidRPr="003F22CE" w:rsidRDefault="003F22CE" w:rsidP="003F22CE">
      <w:pPr>
        <w:bidi/>
        <w:spacing w:before="100" w:beforeAutospacing="1" w:after="100" w:afterAutospacing="1" w:line="240" w:lineRule="auto"/>
        <w:rPr>
          <w:rFonts w:ascii="Arabic Transparent" w:eastAsia="Times New Roman" w:hAnsi="Arabic Transparent" w:cs="Arabic Transparent"/>
          <w:b/>
          <w:bCs/>
          <w:sz w:val="24"/>
          <w:szCs w:val="24"/>
          <w:rtl/>
        </w:rPr>
      </w:pPr>
      <w:r w:rsidRPr="003F22CE">
        <w:rPr>
          <w:rFonts w:ascii="Arabic Transparent" w:eastAsia="Times New Roman" w:hAnsi="Arabic Transparent" w:cs="Arabic Transparent"/>
          <w:b/>
          <w:bCs/>
          <w:sz w:val="24"/>
          <w:szCs w:val="24"/>
          <w:rtl/>
        </w:rPr>
        <w:t>فقه الشركة على نهج الفقه و القانون. آية الله عبدالكريم موسوى اردبيلى؛ قم: منشورات مكتبة امير المؤمنين، چاپ اول، 1414 ه ق. وزيرى، 279 صفحه.</w:t>
      </w:r>
    </w:p>
    <w:p w:rsidR="003F22CE" w:rsidRPr="003F22CE" w:rsidRDefault="003F22CE" w:rsidP="003F22CE">
      <w:pPr>
        <w:bidi/>
        <w:spacing w:before="100" w:beforeAutospacing="1" w:after="100" w:afterAutospacing="1" w:line="240" w:lineRule="auto"/>
        <w:rPr>
          <w:rFonts w:ascii="Arabic Transparent" w:eastAsia="Times New Roman" w:hAnsi="Arabic Transparent" w:cs="Arabic Transparent"/>
          <w:b/>
          <w:bCs/>
          <w:sz w:val="24"/>
          <w:szCs w:val="24"/>
          <w:rtl/>
        </w:rPr>
      </w:pPr>
      <w:r w:rsidRPr="003F22CE">
        <w:rPr>
          <w:rFonts w:ascii="Arabic Transparent" w:eastAsia="Times New Roman" w:hAnsi="Arabic Transparent" w:cs="Arabic Transparent"/>
          <w:b/>
          <w:bCs/>
          <w:sz w:val="24"/>
          <w:szCs w:val="24"/>
          <w:rtl/>
        </w:rPr>
        <w:t>روابط كشورها، مرزها، درياها و حتى فراتر از جوّ موضوع علم فقه واقع مى‏شوند.</w:t>
      </w:r>
    </w:p>
    <w:p w:rsidR="003F22CE" w:rsidRPr="003F22CE" w:rsidRDefault="003F22CE" w:rsidP="003F22CE">
      <w:pPr>
        <w:bidi/>
        <w:spacing w:before="100" w:beforeAutospacing="1" w:after="100" w:afterAutospacing="1" w:line="240" w:lineRule="auto"/>
        <w:rPr>
          <w:rFonts w:ascii="Arabic Transparent" w:eastAsia="Times New Roman" w:hAnsi="Arabic Transparent" w:cs="Arabic Transparent"/>
          <w:b/>
          <w:bCs/>
          <w:sz w:val="24"/>
          <w:szCs w:val="24"/>
          <w:rtl/>
        </w:rPr>
      </w:pPr>
      <w:r w:rsidRPr="003F22CE">
        <w:rPr>
          <w:rFonts w:ascii="Arabic Transparent" w:eastAsia="Times New Roman" w:hAnsi="Arabic Transparent" w:cs="Arabic Transparent"/>
          <w:b/>
          <w:bCs/>
          <w:sz w:val="24"/>
          <w:szCs w:val="24"/>
          <w:rtl/>
        </w:rPr>
        <w:t>و از طرف ديگر تجارت و معاملات چنان گسترش مى‏يابند كه هر بخشى به نوبه خود متخصصى مى‏طلبد، بالتبع بانكها و اوراق بهادار و اسناد جديد و كامپيوترها و همينطور جرايم و مجازاتهاى جديد، انواع شركتهاى مدنى و تجارى، داخلى و بين المللى و چند مليتى، قراردادهاى بيع بين المللى، پول، تورم، معاملات بانكى، رابطه كشور اسلامى با ساير كشورها روابط اسلامى با ساير اديان با ملاحظه موقعيت جهان اسلام و... همه موضوعاتى هستند كه حكم خاص الهى خود را مى‏طلبند، و تنها تلاش بى وقفه فقهاى شيعه است كه مى‏تواند پاسخگوى1 اين مسايل باشد.</w:t>
      </w:r>
    </w:p>
    <w:p w:rsidR="003F22CE" w:rsidRPr="003F22CE" w:rsidRDefault="003F22CE" w:rsidP="003F22CE">
      <w:pPr>
        <w:bidi/>
        <w:spacing w:before="100" w:beforeAutospacing="1" w:after="100" w:afterAutospacing="1" w:line="240" w:lineRule="auto"/>
        <w:rPr>
          <w:rFonts w:ascii="Arabic Transparent" w:eastAsia="Times New Roman" w:hAnsi="Arabic Transparent" w:cs="Arabic Transparent"/>
          <w:b/>
          <w:bCs/>
          <w:sz w:val="24"/>
          <w:szCs w:val="24"/>
          <w:rtl/>
        </w:rPr>
      </w:pPr>
      <w:r w:rsidRPr="003F22CE">
        <w:rPr>
          <w:rFonts w:ascii="Arabic Transparent" w:eastAsia="Times New Roman" w:hAnsi="Arabic Transparent" w:cs="Arabic Transparent"/>
          <w:b/>
          <w:bCs/>
          <w:sz w:val="24"/>
          <w:szCs w:val="24"/>
          <w:rtl/>
        </w:rPr>
        <w:t>و از اين گونه مسايل و حوادث مى‏توان به موضوع شركتها در قلمرو امور تجارى داخلى و بين المللى اشاره كرد.</w:t>
      </w:r>
    </w:p>
    <w:p w:rsidR="003F22CE" w:rsidRPr="003F22CE" w:rsidRDefault="003F22CE" w:rsidP="003F22CE">
      <w:pPr>
        <w:bidi/>
        <w:spacing w:before="100" w:beforeAutospacing="1" w:after="100" w:afterAutospacing="1" w:line="240" w:lineRule="auto"/>
        <w:rPr>
          <w:rFonts w:ascii="Arabic Transparent" w:eastAsia="Times New Roman" w:hAnsi="Arabic Transparent" w:cs="Arabic Transparent"/>
          <w:b/>
          <w:bCs/>
          <w:sz w:val="24"/>
          <w:szCs w:val="24"/>
          <w:rtl/>
        </w:rPr>
      </w:pPr>
      <w:r w:rsidRPr="003F22CE">
        <w:rPr>
          <w:rFonts w:ascii="Arabic Transparent" w:eastAsia="Times New Roman" w:hAnsi="Arabic Transparent" w:cs="Arabic Transparent"/>
          <w:b/>
          <w:bCs/>
          <w:sz w:val="24"/>
          <w:szCs w:val="24"/>
          <w:rtl/>
        </w:rPr>
        <w:t>كتاب فقه الشركة كه در اين راستا نوشته شده است، تلاشى است در جهت پاسخگويى به اين گونه مسايل كه در مورد شركتها مطرح مى‏شود.</w:t>
      </w:r>
    </w:p>
    <w:p w:rsidR="003F22CE" w:rsidRPr="003F22CE" w:rsidRDefault="003F22CE" w:rsidP="003F22CE">
      <w:pPr>
        <w:bidi/>
        <w:spacing w:before="100" w:beforeAutospacing="1" w:after="100" w:afterAutospacing="1" w:line="240" w:lineRule="auto"/>
        <w:rPr>
          <w:rFonts w:ascii="Arabic Transparent" w:eastAsia="Times New Roman" w:hAnsi="Arabic Transparent" w:cs="Arabic Transparent"/>
          <w:b/>
          <w:bCs/>
          <w:sz w:val="24"/>
          <w:szCs w:val="24"/>
          <w:rtl/>
        </w:rPr>
      </w:pPr>
      <w:r w:rsidRPr="003F22CE">
        <w:rPr>
          <w:rFonts w:ascii="Arabic Transparent" w:eastAsia="Times New Roman" w:hAnsi="Arabic Transparent" w:cs="Arabic Transparent"/>
          <w:b/>
          <w:bCs/>
          <w:sz w:val="24"/>
          <w:szCs w:val="24"/>
          <w:rtl/>
        </w:rPr>
        <w:t>قبل از بررسى اين اثر به مقدمه گرانبهاى آن كه توسط مؤلف محترم به رشته تحرير در آمده است، نظرى مى‏كنيم:</w:t>
      </w:r>
    </w:p>
    <w:p w:rsidR="003F22CE" w:rsidRPr="003F22CE" w:rsidRDefault="003F22CE" w:rsidP="003F22CE">
      <w:pPr>
        <w:bidi/>
        <w:spacing w:before="100" w:beforeAutospacing="1" w:after="100" w:afterAutospacing="1" w:line="240" w:lineRule="auto"/>
        <w:rPr>
          <w:rFonts w:ascii="Arabic Transparent" w:eastAsia="Times New Roman" w:hAnsi="Arabic Transparent" w:cs="Arabic Transparent"/>
          <w:b/>
          <w:bCs/>
          <w:sz w:val="24"/>
          <w:szCs w:val="24"/>
          <w:rtl/>
        </w:rPr>
      </w:pPr>
      <w:r w:rsidRPr="003F22CE">
        <w:rPr>
          <w:rFonts w:ascii="Arabic Transparent" w:eastAsia="Times New Roman" w:hAnsi="Arabic Transparent" w:cs="Arabic Transparent"/>
          <w:b/>
          <w:bCs/>
          <w:sz w:val="24"/>
          <w:szCs w:val="24"/>
          <w:rtl/>
        </w:rPr>
        <w:t>«از ميان موضوعات فقهى، احكام جزايى اسلام از قبيل قضا، شهادات، حدود و تعزيرات، قصاص، ديات و احكام مالى و اقتصادى از قبيل: بيع، تجارت، رهن، اجاره، مضاربه، شركت مزارعه و... را با توجه به اولويت، شايان توجه يافتم. و در دوران انفصال از حوزه علميه و اشتغال به مسائل روز مردم، تحول عظيم و ريشه‏اى اين مسائل را با تمام وجود احساس كردم، از اين جهت بازنگرى اين مسائل را از ديدگاه علمى و تطبيق آن را با اوضاع جارى لازم دانستم؛ مثلاً قضا در فقه اسلامى طبق فرمايش رسول خدا صلى‏الله‏عليه‏و‏آله مبتنى بر بينه و قسم است و خط و نوشته قاضى اعتبارى ضعيف بلكه قابل ترديد دارد؛ اما قضاوت امروز اين چنين نيست. من خود در مدت حدود نه سال تصدى قوه قضائيه حتى در يك مورد نديدم كه حكم شرعى بر اساس بينه شرعى صادر شده باشد، بلكه بر اسناد رسمى و ساير قرائن و امارت و... اعتماد مى‏شد؛ لذا در طول چهار سال با توجه به تجارب خويش به تدوين و تدريس مسائل قضا و حدود و تعزيرات پرداختم و دو كتاب فقه القضا و فقه الحدود و التعزيرات را منتشر كردم2</w:t>
      </w:r>
    </w:p>
    <w:p w:rsidR="003F22CE" w:rsidRPr="003F22CE" w:rsidRDefault="003F22CE" w:rsidP="003F22CE">
      <w:pPr>
        <w:bidi/>
        <w:spacing w:before="100" w:beforeAutospacing="1" w:after="100" w:afterAutospacing="1" w:line="240" w:lineRule="auto"/>
        <w:rPr>
          <w:rFonts w:ascii="Arabic Transparent" w:eastAsia="Times New Roman" w:hAnsi="Arabic Transparent" w:cs="Arabic Transparent"/>
          <w:b/>
          <w:bCs/>
          <w:sz w:val="24"/>
          <w:szCs w:val="24"/>
          <w:rtl/>
        </w:rPr>
      </w:pPr>
      <w:r w:rsidRPr="003F22CE">
        <w:rPr>
          <w:rFonts w:ascii="Arabic Transparent" w:eastAsia="Times New Roman" w:hAnsi="Arabic Transparent" w:cs="Arabic Transparent"/>
          <w:b/>
          <w:bCs/>
          <w:sz w:val="24"/>
          <w:szCs w:val="24"/>
          <w:rtl/>
        </w:rPr>
        <w:t>با عنايت به صعوبت و تعقيد مسائل اقتصادى و مالى و وضعيت ناگوارتر آن در ايام تعطيل دروس حوزه، در ماه رمضان 1370 و به دنبال اجابت اصرار برخى از فضلا به مباحث شركت پرداختم، حجم اندك كتاب شركت در فقه و اختلاف فاحش و بنيادين مسائل و فروع آن با قوانين و اعمال تجارى روز، تلاشى عظيم را در استنباط احكام موضوعات مورد ابتلا و رجوع به منابع و اصول شرعى و تمييز حق از باطل و حرام از جايز مى‏طلبيد؛ لذا در رمضان 1411 ه ق براى انجام اين مسؤوليت خطير كتاب فقه الشركة را نگاشتم. ارزيابى اداى اين تكليف را به ديگران وا مى‏گذارم و متوقعم كه فقهاى بزرگ آن را كامل گردانند و به نهايت مطلوب برسانند. اين كتاب را در دو فصل تنظيم كردم: فصل اول به شركت به روش كتب معمول فقهى بر اساس كتاب شرايع و شروح آن مى‏پردازد. در فصل دوم شركت به روش كتب حقوقى و بر اساس متن كتاب الوسيط استاد فاضل دكتر سنهورى ترتيب داده شده است.»</w:t>
      </w:r>
    </w:p>
    <w:p w:rsidR="003F22CE" w:rsidRPr="003F22CE" w:rsidRDefault="003F22CE" w:rsidP="003F22CE">
      <w:pPr>
        <w:bidi/>
        <w:spacing w:before="100" w:beforeAutospacing="1" w:after="100" w:afterAutospacing="1" w:line="240" w:lineRule="auto"/>
        <w:rPr>
          <w:rFonts w:ascii="Arabic Transparent" w:eastAsia="Times New Roman" w:hAnsi="Arabic Transparent" w:cs="Arabic Transparent"/>
          <w:b/>
          <w:bCs/>
          <w:sz w:val="24"/>
          <w:szCs w:val="24"/>
          <w:rtl/>
        </w:rPr>
      </w:pPr>
      <w:r w:rsidRPr="003F22CE">
        <w:rPr>
          <w:rFonts w:ascii="Arabic Transparent" w:eastAsia="Times New Roman" w:hAnsi="Arabic Transparent" w:cs="Arabic Transparent"/>
          <w:b/>
          <w:bCs/>
          <w:sz w:val="24"/>
          <w:szCs w:val="24"/>
          <w:rtl/>
        </w:rPr>
        <w:t>پس آنچه مؤلف محترم را به تألف فقه الشركة برانگيخته است پاسخ به نياز روز و تطبيق قواعد فقهى با حوادث واقعه است.</w:t>
      </w:r>
    </w:p>
    <w:p w:rsidR="003F22CE" w:rsidRPr="003F22CE" w:rsidRDefault="003F22CE" w:rsidP="003F22CE">
      <w:pPr>
        <w:bidi/>
        <w:spacing w:before="100" w:beforeAutospacing="1" w:after="100" w:afterAutospacing="1" w:line="240" w:lineRule="auto"/>
        <w:rPr>
          <w:rFonts w:ascii="Arabic Transparent" w:eastAsia="Times New Roman" w:hAnsi="Arabic Transparent" w:cs="Arabic Transparent"/>
          <w:b/>
          <w:bCs/>
          <w:sz w:val="24"/>
          <w:szCs w:val="24"/>
          <w:rtl/>
        </w:rPr>
      </w:pPr>
      <w:r w:rsidRPr="003F22CE">
        <w:rPr>
          <w:rFonts w:ascii="Arabic Transparent" w:eastAsia="Times New Roman" w:hAnsi="Arabic Transparent" w:cs="Arabic Transparent"/>
          <w:b/>
          <w:bCs/>
          <w:sz w:val="24"/>
          <w:szCs w:val="24"/>
          <w:rtl/>
        </w:rPr>
        <w:t xml:space="preserve">و اين مسأله انگيزه اصلى طرح نظام فقهى و اجتهاد صحيح شيعى است كه از بدو تأسيس بارها به نوگرايى و تجديد حيات و بازنگرى موضوعى با اتكا به اصالت ريشه دار و شيوه غنى استنباطى خود زده است. </w:t>
      </w:r>
    </w:p>
    <w:p w:rsidR="003F22CE" w:rsidRPr="003F22CE" w:rsidRDefault="003F22CE" w:rsidP="003F22CE">
      <w:pPr>
        <w:bidi/>
        <w:spacing w:before="100" w:beforeAutospacing="1" w:after="100" w:afterAutospacing="1" w:line="240" w:lineRule="auto"/>
        <w:rPr>
          <w:rFonts w:ascii="Arabic Transparent" w:eastAsia="Times New Roman" w:hAnsi="Arabic Transparent" w:cs="Arabic Transparent"/>
          <w:b/>
          <w:bCs/>
          <w:sz w:val="24"/>
          <w:szCs w:val="24"/>
          <w:rtl/>
        </w:rPr>
      </w:pPr>
      <w:r w:rsidRPr="003F22CE">
        <w:rPr>
          <w:rFonts w:ascii="Arabic Transparent" w:eastAsia="Times New Roman" w:hAnsi="Arabic Transparent" w:cs="Arabic Transparent"/>
          <w:b/>
          <w:bCs/>
          <w:sz w:val="24"/>
          <w:szCs w:val="24"/>
          <w:rtl/>
        </w:rPr>
        <w:lastRenderedPageBreak/>
        <w:t>اين گونه نوآوريها و پاسخ‏گويى به نياز زمان از همان عصر اوليه حيات فقهى شيعه رخ مى‏نموده است. تا آنجا كه گوى سبقت از ساير فرق ربوده است؛ مثلاً عبيدالله بن على حلبى كتابى را در فقه تصنيف كرد و بر امام صادق عليه‏السلام عرضه نمود. امام بعد از تأييد آن فرمود:</w:t>
      </w:r>
    </w:p>
    <w:p w:rsidR="003F22CE" w:rsidRPr="003F22CE" w:rsidRDefault="003F22CE" w:rsidP="003F22CE">
      <w:pPr>
        <w:bidi/>
        <w:spacing w:before="100" w:beforeAutospacing="1" w:after="100" w:afterAutospacing="1" w:line="240" w:lineRule="auto"/>
        <w:rPr>
          <w:rFonts w:ascii="Arabic Transparent" w:eastAsia="Times New Roman" w:hAnsi="Arabic Transparent" w:cs="Arabic Transparent"/>
          <w:b/>
          <w:bCs/>
          <w:sz w:val="24"/>
          <w:szCs w:val="24"/>
          <w:rtl/>
        </w:rPr>
      </w:pPr>
      <w:r w:rsidRPr="003F22CE">
        <w:rPr>
          <w:rFonts w:ascii="Arabic Transparent" w:eastAsia="Times New Roman" w:hAnsi="Arabic Transparent" w:cs="Arabic Transparent"/>
          <w:b/>
          <w:bCs/>
          <w:sz w:val="24"/>
          <w:szCs w:val="24"/>
          <w:rtl/>
        </w:rPr>
        <w:t>آيا در ميان مخالفان چنين تصنيفى ديده‏ايد بدين معنا كه كارى نوين و در بين ساير فرق بى نظير است.3</w:t>
      </w:r>
    </w:p>
    <w:p w:rsidR="003F22CE" w:rsidRPr="003F22CE" w:rsidRDefault="003F22CE" w:rsidP="003F22CE">
      <w:pPr>
        <w:bidi/>
        <w:spacing w:before="100" w:beforeAutospacing="1" w:after="100" w:afterAutospacing="1" w:line="240" w:lineRule="auto"/>
        <w:rPr>
          <w:rFonts w:ascii="Arabic Transparent" w:eastAsia="Times New Roman" w:hAnsi="Arabic Transparent" w:cs="Arabic Transparent"/>
          <w:b/>
          <w:bCs/>
          <w:sz w:val="24"/>
          <w:szCs w:val="24"/>
          <w:rtl/>
        </w:rPr>
      </w:pPr>
      <w:r w:rsidRPr="003F22CE">
        <w:rPr>
          <w:rFonts w:ascii="Arabic Transparent" w:eastAsia="Times New Roman" w:hAnsi="Arabic Transparent" w:cs="Arabic Transparent"/>
          <w:b/>
          <w:bCs/>
          <w:sz w:val="24"/>
          <w:szCs w:val="24"/>
          <w:rtl/>
        </w:rPr>
        <w:t>همچنانكه شيخ طوسى (ره) در زمينه فقه تطبيقى و فقه تفريعى و فقه مأثور گوى سبقت از اقران ربوده است؛ وى به عنوان عالمى زمان سنج و متعهد تاب تحقير فقه شيعى را نداشته و مى‏گويد:</w:t>
      </w:r>
    </w:p>
    <w:p w:rsidR="003F22CE" w:rsidRPr="003F22CE" w:rsidRDefault="003F22CE" w:rsidP="003F22CE">
      <w:pPr>
        <w:bidi/>
        <w:spacing w:before="100" w:beforeAutospacing="1" w:after="100" w:afterAutospacing="1" w:line="240" w:lineRule="auto"/>
        <w:rPr>
          <w:rFonts w:ascii="Arabic Transparent" w:eastAsia="Times New Roman" w:hAnsi="Arabic Transparent" w:cs="Arabic Transparent"/>
          <w:b/>
          <w:bCs/>
          <w:sz w:val="24"/>
          <w:szCs w:val="24"/>
          <w:rtl/>
        </w:rPr>
      </w:pPr>
      <w:r w:rsidRPr="003F22CE">
        <w:rPr>
          <w:rFonts w:ascii="Arabic Transparent" w:eastAsia="Times New Roman" w:hAnsi="Arabic Transparent" w:cs="Arabic Transparent"/>
          <w:b/>
          <w:bCs/>
          <w:sz w:val="24"/>
          <w:szCs w:val="24"/>
          <w:rtl/>
        </w:rPr>
        <w:t>«ما را به قلّت فروع و مسائل نسبت مى‏دهند و به سبب جهل به مذهب ما مى‏پندارند هر كس قياس و اجتهاد را نفى كند راهى به كثرت مسائل و تفريع بر اصول ندارد... من از دير باز مشتاق تأليف كتابى مشتمل بر مسائل تفريعى بودم...» و شيخ با تأليف كتاب مبسوط چنان كه خود مى‏گويد كتابى بى نظير در صحنه فقهى شيعى و سنى نگاشت و همه آنچه را كه مورد نياز عصر خود بود به صورتى كامل و كافى در آن جمع نمود.4</w:t>
      </w:r>
    </w:p>
    <w:p w:rsidR="003F22CE" w:rsidRPr="003F22CE" w:rsidRDefault="003F22CE" w:rsidP="003F22CE">
      <w:pPr>
        <w:bidi/>
        <w:spacing w:before="100" w:beforeAutospacing="1" w:after="100" w:afterAutospacing="1" w:line="240" w:lineRule="auto"/>
        <w:rPr>
          <w:rFonts w:ascii="Arabic Transparent" w:eastAsia="Times New Roman" w:hAnsi="Arabic Transparent" w:cs="Arabic Transparent"/>
          <w:b/>
          <w:bCs/>
          <w:sz w:val="24"/>
          <w:szCs w:val="24"/>
          <w:rtl/>
        </w:rPr>
      </w:pPr>
      <w:r w:rsidRPr="003F22CE">
        <w:rPr>
          <w:rFonts w:ascii="Arabic Transparent" w:eastAsia="Times New Roman" w:hAnsi="Arabic Transparent" w:cs="Arabic Transparent"/>
          <w:b/>
          <w:bCs/>
          <w:sz w:val="24"/>
          <w:szCs w:val="24"/>
          <w:rtl/>
        </w:rPr>
        <w:t>چنانكه علامه حلّى نيز با تحقيق و نگارش بى وفقه، كتب فقهى شيعه را در مختلف و كتب ساير مذاهب اسلامى را در تذكره، و مغنى ابن قدامه حنبلى را در منتهى نقد كرد. آنچه را زمان مى‏طلبيد در فقه و كلام و اصول بى محابا مطرح نمود...</w:t>
      </w:r>
    </w:p>
    <w:p w:rsidR="003F22CE" w:rsidRPr="003F22CE" w:rsidRDefault="003F22CE" w:rsidP="003F22CE">
      <w:pPr>
        <w:bidi/>
        <w:spacing w:before="100" w:beforeAutospacing="1" w:after="100" w:afterAutospacing="1" w:line="240" w:lineRule="auto"/>
        <w:rPr>
          <w:rFonts w:ascii="Arabic Transparent" w:eastAsia="Times New Roman" w:hAnsi="Arabic Transparent" w:cs="Arabic Transparent"/>
          <w:b/>
          <w:bCs/>
          <w:sz w:val="24"/>
          <w:szCs w:val="24"/>
          <w:rtl/>
        </w:rPr>
      </w:pPr>
      <w:r w:rsidRPr="003F22CE">
        <w:rPr>
          <w:rFonts w:ascii="Arabic Transparent" w:eastAsia="Times New Roman" w:hAnsi="Arabic Transparent" w:cs="Arabic Transparent"/>
          <w:b/>
          <w:bCs/>
          <w:sz w:val="24"/>
          <w:szCs w:val="24"/>
          <w:rtl/>
        </w:rPr>
        <w:t>و اين گونه فقهاى شيعه در طول زمان مطابق با حوادث واقعه و نياز عصر عمل كردند؛ جامع الشتات ميرزاى قمى، رساله سؤال و جواب سيد يزدى و ساير رسايل كه قدماى اصحاب و متأخران در پاسخ مسائل استفتائيه نوشتند خود گواهى بر اين مطلبند.</w:t>
      </w:r>
    </w:p>
    <w:p w:rsidR="003F22CE" w:rsidRPr="003F22CE" w:rsidRDefault="003F22CE" w:rsidP="003F22CE">
      <w:pPr>
        <w:bidi/>
        <w:spacing w:before="100" w:beforeAutospacing="1" w:after="100" w:afterAutospacing="1" w:line="240" w:lineRule="auto"/>
        <w:rPr>
          <w:rFonts w:ascii="Arabic Transparent" w:eastAsia="Times New Roman" w:hAnsi="Arabic Transparent" w:cs="Arabic Transparent"/>
          <w:b/>
          <w:bCs/>
          <w:sz w:val="24"/>
          <w:szCs w:val="24"/>
          <w:rtl/>
        </w:rPr>
      </w:pPr>
      <w:r w:rsidRPr="003F22CE">
        <w:rPr>
          <w:rFonts w:ascii="Arabic Transparent" w:eastAsia="Times New Roman" w:hAnsi="Arabic Transparent" w:cs="Arabic Transparent"/>
          <w:b/>
          <w:bCs/>
          <w:sz w:val="24"/>
          <w:szCs w:val="24"/>
          <w:rtl/>
        </w:rPr>
        <w:t>يكى از طرق تطبيق فقه با مسائل جارى، تطبيق و مقارنه فقه پويا و استوار شيعه با افكار و آراى زمان است؛ اين مهم در گذشته به عنوان خلاف نويسى و علم مقارنه و تطبيق در سيره علما مشهود است؛ ولى امروزه نيكو مى‏نمايد كه اين تطبيق با نصوص و قواعد حقوقى جديد نيز صورت گيرد در اين ميدان نيز عالم بزرگ شيعه شيخ محمد حسين آل كاشف الغطاء به ميدان آمده است؛ وى در كتاب «تحرير المجله» حقوق عصر خويش را شرح و نقد مى‏كند و با وارستگى خاص خويش فقه شيعه را به گونه‏اى فقهى ـ حقوقى با زبان روز تبيين مى‏نمايد، اين علامه بزرگوار در مقدمه تحرير المجله مى‏نويسد:</w:t>
      </w:r>
    </w:p>
    <w:p w:rsidR="003F22CE" w:rsidRPr="003F22CE" w:rsidRDefault="003F22CE" w:rsidP="003F22CE">
      <w:pPr>
        <w:bidi/>
        <w:spacing w:before="100" w:beforeAutospacing="1" w:after="100" w:afterAutospacing="1" w:line="240" w:lineRule="auto"/>
        <w:rPr>
          <w:rFonts w:ascii="Arabic Transparent" w:eastAsia="Times New Roman" w:hAnsi="Arabic Transparent" w:cs="Arabic Transparent"/>
          <w:b/>
          <w:bCs/>
          <w:sz w:val="24"/>
          <w:szCs w:val="24"/>
          <w:rtl/>
        </w:rPr>
      </w:pPr>
      <w:r w:rsidRPr="003F22CE">
        <w:rPr>
          <w:rFonts w:ascii="Arabic Transparent" w:eastAsia="Times New Roman" w:hAnsi="Arabic Transparent" w:cs="Arabic Transparent"/>
          <w:b/>
          <w:bCs/>
          <w:sz w:val="24"/>
          <w:szCs w:val="24"/>
          <w:rtl/>
        </w:rPr>
        <w:t>«چون برخى از دانشجويان جوان و پاك رشته حقوق مكرراً از من درخواست كرده‏اند كه خلاصه‏اى در احوال شخصيه و معاملات مالى به روش فقه اماميه بنويسم، بدين سبب كتاب «مجله العدليه يا مجله الاحكام» را كه تدريس آن از زمان اتراك تاكنون در دانشكده‏هاى حقوق مرسوم بوده مورد مطالعه قرار دادم.</w:t>
      </w:r>
    </w:p>
    <w:p w:rsidR="003F22CE" w:rsidRPr="003F22CE" w:rsidRDefault="003F22CE" w:rsidP="003F22CE">
      <w:pPr>
        <w:bidi/>
        <w:spacing w:before="100" w:beforeAutospacing="1" w:after="100" w:afterAutospacing="1" w:line="240" w:lineRule="auto"/>
        <w:rPr>
          <w:rFonts w:ascii="Arabic Transparent" w:eastAsia="Times New Roman" w:hAnsi="Arabic Transparent" w:cs="Arabic Transparent"/>
          <w:b/>
          <w:bCs/>
          <w:sz w:val="24"/>
          <w:szCs w:val="24"/>
          <w:rtl/>
        </w:rPr>
      </w:pPr>
      <w:r w:rsidRPr="003F22CE">
        <w:rPr>
          <w:rFonts w:ascii="Arabic Transparent" w:eastAsia="Times New Roman" w:hAnsi="Arabic Transparent" w:cs="Arabic Transparent"/>
          <w:b/>
          <w:bCs/>
          <w:sz w:val="24"/>
          <w:szCs w:val="24"/>
          <w:rtl/>
        </w:rPr>
        <w:t>اين كتاب با وجود ترتيب و تبويب نيكو و كثرت مواد، محتاج به تحرير و تنقيح و اشاره به موارد تكرار و بيان مدارك قواعد و فروع و ذكر مبانى آن طبق فن بود... غرض از اين تأليف يكى شرح و تعليق و حلّ معضلات آن و يكى بيان مذهب اماميه بود؛ به اميد اينكه مكتب موزون از ميان ساير مذاهب و مذهب شيعه اماميه با همه سرمايه گران و كثرت فروع و قوت مدارك و مبانى و علو مبانى آن و مطابقت آن با عقل و عرف روشن گردد؛ بدون اينكه تجاوزى نسبت به ساير مذاهب صورت گيرد... و در نهايت از جوانان مى‏خواهم از پيش داورى مبرا گردند و به مطالب با چشم انصاف بنگرند»5</w:t>
      </w:r>
    </w:p>
    <w:p w:rsidR="003F22CE" w:rsidRPr="003F22CE" w:rsidRDefault="003F22CE" w:rsidP="003F22CE">
      <w:pPr>
        <w:bidi/>
        <w:spacing w:before="100" w:beforeAutospacing="1" w:after="100" w:afterAutospacing="1" w:line="240" w:lineRule="auto"/>
        <w:rPr>
          <w:rFonts w:ascii="Arabic Transparent" w:eastAsia="Times New Roman" w:hAnsi="Arabic Transparent" w:cs="Arabic Transparent"/>
          <w:b/>
          <w:bCs/>
          <w:sz w:val="24"/>
          <w:szCs w:val="24"/>
          <w:rtl/>
        </w:rPr>
      </w:pPr>
      <w:r w:rsidRPr="003F22CE">
        <w:rPr>
          <w:rFonts w:ascii="Arabic Transparent" w:eastAsia="Times New Roman" w:hAnsi="Arabic Transparent" w:cs="Arabic Transparent"/>
          <w:b/>
          <w:bCs/>
          <w:sz w:val="24"/>
          <w:szCs w:val="24"/>
          <w:rtl/>
        </w:rPr>
        <w:t xml:space="preserve">تحرير المجله كتابى است كه به قول خود مؤلف: </w:t>
      </w:r>
    </w:p>
    <w:p w:rsidR="003F22CE" w:rsidRPr="003F22CE" w:rsidRDefault="003F22CE" w:rsidP="003F22CE">
      <w:pPr>
        <w:bidi/>
        <w:spacing w:before="100" w:beforeAutospacing="1" w:after="100" w:afterAutospacing="1" w:line="240" w:lineRule="auto"/>
        <w:rPr>
          <w:rFonts w:ascii="Arabic Transparent" w:eastAsia="Times New Roman" w:hAnsi="Arabic Transparent" w:cs="Arabic Transparent"/>
          <w:b/>
          <w:bCs/>
          <w:sz w:val="24"/>
          <w:szCs w:val="24"/>
          <w:rtl/>
        </w:rPr>
      </w:pPr>
      <w:r w:rsidRPr="003F22CE">
        <w:rPr>
          <w:rFonts w:ascii="Arabic Transparent" w:eastAsia="Times New Roman" w:hAnsi="Arabic Transparent" w:cs="Arabic Transparent"/>
          <w:b/>
          <w:bCs/>
          <w:sz w:val="24"/>
          <w:szCs w:val="24"/>
          <w:rtl/>
        </w:rPr>
        <w:t>«قدر اين كتاب عظيم و علو مرتبه آن را خواننده اگر اهل باشد مى‏يابد».6</w:t>
      </w:r>
    </w:p>
    <w:p w:rsidR="003F22CE" w:rsidRPr="003F22CE" w:rsidRDefault="003F22CE" w:rsidP="003F22CE">
      <w:pPr>
        <w:bidi/>
        <w:spacing w:before="100" w:beforeAutospacing="1" w:after="100" w:afterAutospacing="1" w:line="240" w:lineRule="auto"/>
        <w:rPr>
          <w:rFonts w:ascii="Arabic Transparent" w:eastAsia="Times New Roman" w:hAnsi="Arabic Transparent" w:cs="Arabic Transparent"/>
          <w:b/>
          <w:bCs/>
          <w:sz w:val="24"/>
          <w:szCs w:val="24"/>
          <w:rtl/>
        </w:rPr>
      </w:pPr>
      <w:r w:rsidRPr="003F22CE">
        <w:rPr>
          <w:rFonts w:ascii="Arabic Transparent" w:eastAsia="Times New Roman" w:hAnsi="Arabic Transparent" w:cs="Arabic Transparent"/>
          <w:b/>
          <w:bCs/>
          <w:sz w:val="24"/>
          <w:szCs w:val="24"/>
          <w:rtl/>
        </w:rPr>
        <w:t xml:space="preserve">براى پر كردن خلأ قانونى، حقوقى و فقهى يكى از بهترين راهها شرح و حاشيه بر مواد قانونى و كتب حقوقى ـ فقهى جديد است؛ حتى متن كنوانسيونهاى بين المللى مى‏تواند موضوعات مناسبى براى بحث در دروس خارجى حوزه باشد؛ </w:t>
      </w:r>
      <w:r w:rsidRPr="003F22CE">
        <w:rPr>
          <w:rFonts w:ascii="Arabic Transparent" w:eastAsia="Times New Roman" w:hAnsi="Arabic Transparent" w:cs="Arabic Transparent"/>
          <w:b/>
          <w:bCs/>
          <w:sz w:val="24"/>
          <w:szCs w:val="24"/>
          <w:rtl/>
        </w:rPr>
        <w:lastRenderedPageBreak/>
        <w:t>زيرا با توجه به استقرار حكومت اسلامى اگر نتوانيم خلأهاى قانونى ـ فقهى را پر كنيم و پاسخى متناسب با نيازهاى جامعه از لحاظ حقوقى براى مسائل جديد پيدا كنيم، يورش قانونى و حقوق بيگانه موجب استيلاى فرهنگ غير دينى بر اموال و نفوس و در نتيجه ضلالت و گمراهى مسلمانان خواهد شد.</w:t>
      </w:r>
    </w:p>
    <w:p w:rsidR="003F22CE" w:rsidRPr="003F22CE" w:rsidRDefault="003F22CE" w:rsidP="003F22CE">
      <w:pPr>
        <w:bidi/>
        <w:spacing w:before="100" w:beforeAutospacing="1" w:after="100" w:afterAutospacing="1" w:line="240" w:lineRule="auto"/>
        <w:rPr>
          <w:rFonts w:ascii="Arabic Transparent" w:eastAsia="Times New Roman" w:hAnsi="Arabic Transparent" w:cs="Arabic Transparent"/>
          <w:b/>
          <w:bCs/>
          <w:sz w:val="24"/>
          <w:szCs w:val="24"/>
          <w:rtl/>
        </w:rPr>
      </w:pPr>
      <w:r w:rsidRPr="003F22CE">
        <w:rPr>
          <w:rFonts w:ascii="Arabic Transparent" w:eastAsia="Times New Roman" w:hAnsi="Arabic Transparent" w:cs="Arabic Transparent"/>
          <w:b/>
          <w:bCs/>
          <w:sz w:val="24"/>
          <w:szCs w:val="24"/>
          <w:rtl/>
        </w:rPr>
        <w:t>كلينى(ره) اين معنا را به نحو رسايى از امام صادق عليه‏السلام نقل مى‏كند:</w:t>
      </w:r>
    </w:p>
    <w:p w:rsidR="003F22CE" w:rsidRPr="003F22CE" w:rsidRDefault="003F22CE" w:rsidP="003F22CE">
      <w:pPr>
        <w:bidi/>
        <w:spacing w:before="100" w:beforeAutospacing="1" w:after="100" w:afterAutospacing="1" w:line="240" w:lineRule="auto"/>
        <w:rPr>
          <w:rFonts w:ascii="Arabic Transparent" w:eastAsia="Times New Roman" w:hAnsi="Arabic Transparent" w:cs="Arabic Transparent"/>
          <w:b/>
          <w:bCs/>
          <w:sz w:val="24"/>
          <w:szCs w:val="24"/>
          <w:rtl/>
        </w:rPr>
      </w:pPr>
      <w:r w:rsidRPr="003F22CE">
        <w:rPr>
          <w:rFonts w:ascii="Arabic Transparent" w:eastAsia="Times New Roman" w:hAnsi="Arabic Transparent" w:cs="Arabic Transparent"/>
          <w:b/>
          <w:bCs/>
          <w:sz w:val="24"/>
          <w:szCs w:val="24"/>
          <w:rtl/>
        </w:rPr>
        <w:t xml:space="preserve">«عن بشير الدهان قال، قال ابو عبدالله عليه‏السلام : لا خير فيمن لايتفقه من اصحابنا، يا بشير! ان الرجل منهم اذا لم يستغن بفقهه احتاج اليهم، فاذا احتاج اليهم، أدخلوه فى باب ضلالتهم و هو لايعلم.»7 </w:t>
      </w:r>
    </w:p>
    <w:p w:rsidR="003F22CE" w:rsidRPr="003F22CE" w:rsidRDefault="003F22CE" w:rsidP="003F22CE">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3F22CE">
        <w:rPr>
          <w:rFonts w:ascii="Arabic Transparent" w:eastAsia="Times New Roman" w:hAnsi="Arabic Transparent" w:cs="Arabic Transparent"/>
          <w:b/>
          <w:bCs/>
          <w:sz w:val="27"/>
          <w:szCs w:val="27"/>
          <w:rtl/>
        </w:rPr>
        <w:t>فقه الشركة</w:t>
      </w:r>
    </w:p>
    <w:p w:rsidR="003F22CE" w:rsidRPr="003F22CE" w:rsidRDefault="003F22CE" w:rsidP="003F22CE">
      <w:pPr>
        <w:bidi/>
        <w:spacing w:before="100" w:beforeAutospacing="1" w:after="100" w:afterAutospacing="1" w:line="240" w:lineRule="auto"/>
        <w:rPr>
          <w:rFonts w:ascii="Arabic Transparent" w:eastAsia="Times New Roman" w:hAnsi="Arabic Transparent" w:cs="Arabic Transparent"/>
          <w:b/>
          <w:bCs/>
          <w:sz w:val="24"/>
          <w:szCs w:val="24"/>
          <w:rtl/>
        </w:rPr>
      </w:pPr>
      <w:r w:rsidRPr="003F22CE">
        <w:rPr>
          <w:rFonts w:ascii="Arabic Transparent" w:eastAsia="Times New Roman" w:hAnsi="Arabic Transparent" w:cs="Arabic Transparent"/>
          <w:b/>
          <w:bCs/>
          <w:sz w:val="24"/>
          <w:szCs w:val="24"/>
          <w:rtl/>
        </w:rPr>
        <w:t xml:space="preserve">با توجه به اين نكات است كه مولف محترم «فقه الشركة» بخشى از كتاب خود را به تشريح و تحشيه الوسيط و بخشى را به بررسى فقهى بيمه اختصاص داده است. </w:t>
      </w:r>
    </w:p>
    <w:p w:rsidR="003F22CE" w:rsidRPr="003F22CE" w:rsidRDefault="003F22CE" w:rsidP="003F22CE">
      <w:pPr>
        <w:bidi/>
        <w:spacing w:before="100" w:beforeAutospacing="1" w:after="100" w:afterAutospacing="1" w:line="240" w:lineRule="auto"/>
        <w:rPr>
          <w:rFonts w:ascii="Arabic Transparent" w:eastAsia="Times New Roman" w:hAnsi="Arabic Transparent" w:cs="Arabic Transparent"/>
          <w:b/>
          <w:bCs/>
          <w:sz w:val="24"/>
          <w:szCs w:val="24"/>
          <w:rtl/>
        </w:rPr>
      </w:pPr>
      <w:r w:rsidRPr="003F22CE">
        <w:rPr>
          <w:rFonts w:ascii="Arabic Transparent" w:eastAsia="Times New Roman" w:hAnsi="Arabic Transparent" w:cs="Arabic Transparent"/>
          <w:b/>
          <w:bCs/>
          <w:sz w:val="24"/>
          <w:szCs w:val="24"/>
          <w:rtl/>
        </w:rPr>
        <w:t xml:space="preserve">كتاب مزبور شامل دو بحث مستقل فقه الشركة على نهج الفقه القانون و كتاب التامين است. </w:t>
      </w:r>
    </w:p>
    <w:p w:rsidR="003F22CE" w:rsidRPr="003F22CE" w:rsidRDefault="003F22CE" w:rsidP="003F22CE">
      <w:pPr>
        <w:bidi/>
        <w:spacing w:before="100" w:beforeAutospacing="1" w:after="100" w:afterAutospacing="1" w:line="240" w:lineRule="auto"/>
        <w:rPr>
          <w:rFonts w:ascii="Arabic Transparent" w:eastAsia="Times New Roman" w:hAnsi="Arabic Transparent" w:cs="Arabic Transparent"/>
          <w:b/>
          <w:bCs/>
          <w:sz w:val="24"/>
          <w:szCs w:val="24"/>
          <w:rtl/>
        </w:rPr>
      </w:pPr>
      <w:r w:rsidRPr="003F22CE">
        <w:rPr>
          <w:rFonts w:ascii="Arabic Transparent" w:eastAsia="Times New Roman" w:hAnsi="Arabic Transparent" w:cs="Arabic Transparent"/>
          <w:b/>
          <w:bCs/>
          <w:sz w:val="24"/>
          <w:szCs w:val="24"/>
          <w:rtl/>
        </w:rPr>
        <w:t xml:space="preserve">همچنانكه از نام كتاب بر مى‏آيد، فقه الشركة داراى دو فصل اصلى است: فصل اول به شيوه سنتى به بررسى فقهى مبحث شركت مى‏پردازد و كتاب شرايع الاسلام را كه قرآن فقه و شيعه‏اش خوانده‏اند، متن قرار داده است و متشكل از هفت جهت است. هر بحثى متشكل از ذكر متن شرايع، تحليل و تشريح متن و نقل آراى فقهاى شيعه و سنى و بررسى عناوين و ابحاث فرعى و نقل منظم روايات مربوطه و طريق جمع و استنباط از آنها و در نهايت تقسيم و تفصيل صور متصور و بيان رأى مناسب با ذكر مستند آن در هر مورد است. در اين بخش علاوه بر شركتهاى چهارگانه فقهى (شركة العنان، شركة الابدان، شركة الوجوه و شركة المفاوضه) به بحث از شركتهاى تجارى جديد نيز توجه شده است. </w:t>
      </w:r>
    </w:p>
    <w:p w:rsidR="003F22CE" w:rsidRPr="003F22CE" w:rsidRDefault="003F22CE" w:rsidP="003F22CE">
      <w:pPr>
        <w:bidi/>
        <w:spacing w:before="100" w:beforeAutospacing="1" w:after="100" w:afterAutospacing="1" w:line="240" w:lineRule="auto"/>
        <w:rPr>
          <w:rFonts w:ascii="Arabic Transparent" w:eastAsia="Times New Roman" w:hAnsi="Arabic Transparent" w:cs="Arabic Transparent"/>
          <w:b/>
          <w:bCs/>
          <w:sz w:val="24"/>
          <w:szCs w:val="24"/>
          <w:rtl/>
        </w:rPr>
      </w:pPr>
      <w:r w:rsidRPr="003F22CE">
        <w:rPr>
          <w:rFonts w:ascii="Arabic Transparent" w:eastAsia="Times New Roman" w:hAnsi="Arabic Transparent" w:cs="Arabic Transparent"/>
          <w:b/>
          <w:bCs/>
          <w:sz w:val="24"/>
          <w:szCs w:val="24"/>
          <w:rtl/>
        </w:rPr>
        <w:t xml:space="preserve">فصل دوم به بررسى فقهى جنبه حقوقى عقد شركت مى‏پردازد؛ در اين بحث عقد شركت از كتاب الوسيط مرحوم دكتر سنهورى متن قرار گرفته است كه در واقع علاوه بر نقد و بررسى كتاب سنهورى نقدى بر قانون مدنى جديد مصر نيز محسوب مى‏گردد. كتاب عقد الشركة الوسيط در يك مقدمه و سه فصل تدوين شده است؛ مقدمه در مباحث كلى شركت، فصل اول در اركان شركت، فصل دوم در احكام شركت و فصل سوم در انقضاى شركت است. آنچه كه بيشتر مورد عنايت مولف محقق فقه الشركة بوده مقدمه و فصل اول عقد الشركة است. </w:t>
      </w:r>
    </w:p>
    <w:p w:rsidR="003F22CE" w:rsidRPr="003F22CE" w:rsidRDefault="003F22CE" w:rsidP="003F22CE">
      <w:pPr>
        <w:bidi/>
        <w:spacing w:before="100" w:beforeAutospacing="1" w:after="100" w:afterAutospacing="1" w:line="240" w:lineRule="auto"/>
        <w:rPr>
          <w:rFonts w:ascii="Arabic Transparent" w:eastAsia="Times New Roman" w:hAnsi="Arabic Transparent" w:cs="Arabic Transparent"/>
          <w:b/>
          <w:bCs/>
          <w:sz w:val="24"/>
          <w:szCs w:val="24"/>
          <w:rtl/>
        </w:rPr>
      </w:pPr>
      <w:r w:rsidRPr="003F22CE">
        <w:rPr>
          <w:rFonts w:ascii="Arabic Transparent" w:eastAsia="Times New Roman" w:hAnsi="Arabic Transparent" w:cs="Arabic Transparent"/>
          <w:b/>
          <w:bCs/>
          <w:sz w:val="24"/>
          <w:szCs w:val="24"/>
          <w:rtl/>
        </w:rPr>
        <w:t>(توضيح بيشتر در مورد سنهورى و الوسيط خواهد آمد.)</w:t>
      </w:r>
    </w:p>
    <w:p w:rsidR="003F22CE" w:rsidRPr="003F22CE" w:rsidRDefault="003F22CE" w:rsidP="003F22CE">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3F22CE">
        <w:rPr>
          <w:rFonts w:ascii="Arabic Transparent" w:eastAsia="Times New Roman" w:hAnsi="Arabic Transparent" w:cs="Arabic Transparent"/>
          <w:b/>
          <w:bCs/>
          <w:sz w:val="27"/>
          <w:szCs w:val="27"/>
          <w:rtl/>
        </w:rPr>
        <w:t>كتاب التأمين</w:t>
      </w:r>
    </w:p>
    <w:p w:rsidR="003F22CE" w:rsidRPr="003F22CE" w:rsidRDefault="003F22CE" w:rsidP="003F22CE">
      <w:pPr>
        <w:bidi/>
        <w:spacing w:before="100" w:beforeAutospacing="1" w:after="100" w:afterAutospacing="1" w:line="240" w:lineRule="auto"/>
        <w:rPr>
          <w:rFonts w:ascii="Arabic Transparent" w:eastAsia="Times New Roman" w:hAnsi="Arabic Transparent" w:cs="Arabic Transparent"/>
          <w:b/>
          <w:bCs/>
          <w:sz w:val="24"/>
          <w:szCs w:val="24"/>
          <w:rtl/>
        </w:rPr>
      </w:pPr>
      <w:r w:rsidRPr="003F22CE">
        <w:rPr>
          <w:rFonts w:ascii="Arabic Transparent" w:eastAsia="Times New Roman" w:hAnsi="Arabic Transparent" w:cs="Arabic Transparent"/>
          <w:b/>
          <w:bCs/>
          <w:sz w:val="24"/>
          <w:szCs w:val="24"/>
          <w:rtl/>
        </w:rPr>
        <w:t>در اين بخش كتاب وزين تحرير الوسيله اثر احياگر شيعه و رهبر انقلاب اسلامى حضرت امام خمينى ـ روحى فدا ـ متن قرار گرفته است. بيمه به سبب اهميت شايان توجهى كه امروزه در معاملات اقتصادى و تمام جهات زندگى بشر دارد مولف محترم را به بررسى آن واداشته است. حضرت امام خمينى ـ قدس سره ـ در مسائل مستحدثه تحرير الوسيله، احكام بيمه را در ده مسأله ذكر فرموده‏اند كه شش مسأله اول مورد بررسى و توجه خاص حضرت آية الله موسوى اردبيلى بركاته قرار گرفته است.</w:t>
      </w:r>
    </w:p>
    <w:p w:rsidR="003F22CE" w:rsidRPr="003F22CE" w:rsidRDefault="003F22CE" w:rsidP="003F22CE">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3F22CE">
        <w:rPr>
          <w:rFonts w:ascii="Arabic Transparent" w:eastAsia="Times New Roman" w:hAnsi="Arabic Transparent" w:cs="Arabic Transparent"/>
          <w:b/>
          <w:bCs/>
          <w:sz w:val="27"/>
          <w:szCs w:val="27"/>
          <w:rtl/>
        </w:rPr>
        <w:t>فهرستهاى كتاب:</w:t>
      </w:r>
    </w:p>
    <w:p w:rsidR="003F22CE" w:rsidRPr="003F22CE" w:rsidRDefault="003F22CE" w:rsidP="003F22CE">
      <w:pPr>
        <w:bidi/>
        <w:spacing w:before="100" w:beforeAutospacing="1" w:after="100" w:afterAutospacing="1" w:line="240" w:lineRule="auto"/>
        <w:rPr>
          <w:rFonts w:ascii="Arabic Transparent" w:eastAsia="Times New Roman" w:hAnsi="Arabic Transparent" w:cs="Arabic Transparent"/>
          <w:b/>
          <w:bCs/>
          <w:sz w:val="24"/>
          <w:szCs w:val="24"/>
          <w:rtl/>
        </w:rPr>
      </w:pPr>
      <w:r w:rsidRPr="003F22CE">
        <w:rPr>
          <w:rFonts w:ascii="Arabic Transparent" w:eastAsia="Times New Roman" w:hAnsi="Arabic Transparent" w:cs="Arabic Transparent"/>
          <w:b/>
          <w:bCs/>
          <w:sz w:val="24"/>
          <w:szCs w:val="24"/>
          <w:rtl/>
        </w:rPr>
        <w:t>فهرستهاى كتاب كه سعى شده به صورت فنى ترتيب داده شود متشكل از:</w:t>
      </w:r>
    </w:p>
    <w:p w:rsidR="003F22CE" w:rsidRPr="003F22CE" w:rsidRDefault="003F22CE" w:rsidP="003F22CE">
      <w:pPr>
        <w:bidi/>
        <w:spacing w:before="100" w:beforeAutospacing="1" w:after="100" w:afterAutospacing="1" w:line="240" w:lineRule="auto"/>
        <w:rPr>
          <w:rFonts w:ascii="Arabic Transparent" w:eastAsia="Times New Roman" w:hAnsi="Arabic Transparent" w:cs="Arabic Transparent"/>
          <w:b/>
          <w:bCs/>
          <w:sz w:val="24"/>
          <w:szCs w:val="24"/>
          <w:rtl/>
        </w:rPr>
      </w:pPr>
      <w:r w:rsidRPr="003F22CE">
        <w:rPr>
          <w:rFonts w:ascii="Arabic Transparent" w:eastAsia="Times New Roman" w:hAnsi="Arabic Transparent" w:cs="Arabic Transparent"/>
          <w:b/>
          <w:bCs/>
          <w:sz w:val="24"/>
          <w:szCs w:val="24"/>
          <w:rtl/>
        </w:rPr>
        <w:t>1. فهرست آيات كريمه؛ 2. احاديث شريفه؛ 3. اعلام؛ 4. كتب؛ 5. مصادر تحقيق؛ 6. فهرست اجمالى فصول و موضوعات كتاب؛ 7. فهرست الفبايى موضوعات؛ 8. فهرست تفصيلى مطالب كتاب است.</w:t>
      </w:r>
    </w:p>
    <w:p w:rsidR="003F22CE" w:rsidRPr="003F22CE" w:rsidRDefault="003F22CE" w:rsidP="003F22CE">
      <w:pPr>
        <w:bidi/>
        <w:spacing w:before="100" w:beforeAutospacing="1" w:after="100" w:afterAutospacing="1" w:line="240" w:lineRule="auto"/>
        <w:rPr>
          <w:rFonts w:ascii="Arabic Transparent" w:eastAsia="Times New Roman" w:hAnsi="Arabic Transparent" w:cs="Arabic Transparent"/>
          <w:b/>
          <w:bCs/>
          <w:sz w:val="24"/>
          <w:szCs w:val="24"/>
          <w:rtl/>
        </w:rPr>
      </w:pPr>
      <w:r w:rsidRPr="003F22CE">
        <w:rPr>
          <w:rFonts w:ascii="Arabic Transparent" w:eastAsia="Times New Roman" w:hAnsi="Arabic Transparent" w:cs="Arabic Transparent"/>
          <w:b/>
          <w:bCs/>
          <w:sz w:val="24"/>
          <w:szCs w:val="24"/>
          <w:rtl/>
        </w:rPr>
        <w:lastRenderedPageBreak/>
        <w:t>در فهارس آيات، احاديث، اعلام و كتب همان روش معمول فهرست نگارى اتخاذ گرديده است. در فهرست مصادر تحقيق به كتابهايى اشاره شده است كه مورد استناد مؤلف قرار گرفته‏اند و خصوصياتى در مورد نويسنده كتاب و تأليف آن در اختيار خواننده قرار داده شده است. از جمله گاهى به موضوعات مندرج در مصادر تحقيق و گاهى به سرگذشت اجمالى نويسنده كتاب علاوه بر شناسنامه معمول كتاب، اشاره شده است.</w:t>
      </w:r>
    </w:p>
    <w:p w:rsidR="003F22CE" w:rsidRPr="003F22CE" w:rsidRDefault="003F22CE" w:rsidP="003F22CE">
      <w:pPr>
        <w:bidi/>
        <w:spacing w:before="100" w:beforeAutospacing="1" w:after="100" w:afterAutospacing="1" w:line="240" w:lineRule="auto"/>
        <w:rPr>
          <w:rFonts w:ascii="Arabic Transparent" w:eastAsia="Times New Roman" w:hAnsi="Arabic Transparent" w:cs="Arabic Transparent"/>
          <w:b/>
          <w:bCs/>
          <w:sz w:val="24"/>
          <w:szCs w:val="24"/>
          <w:rtl/>
        </w:rPr>
      </w:pPr>
      <w:r w:rsidRPr="003F22CE">
        <w:rPr>
          <w:rFonts w:ascii="Arabic Transparent" w:eastAsia="Times New Roman" w:hAnsi="Arabic Transparent" w:cs="Arabic Transparent"/>
          <w:b/>
          <w:bCs/>
          <w:sz w:val="24"/>
          <w:szCs w:val="24"/>
          <w:rtl/>
        </w:rPr>
        <w:t>در مورد فهرست موضوعات كتاب سه شيوه اتخاذ شده است:</w:t>
      </w:r>
    </w:p>
    <w:p w:rsidR="003F22CE" w:rsidRPr="003F22CE" w:rsidRDefault="003F22CE" w:rsidP="003F22CE">
      <w:pPr>
        <w:bidi/>
        <w:spacing w:before="100" w:beforeAutospacing="1" w:after="100" w:afterAutospacing="1" w:line="240" w:lineRule="auto"/>
        <w:rPr>
          <w:rFonts w:ascii="Arabic Transparent" w:eastAsia="Times New Roman" w:hAnsi="Arabic Transparent" w:cs="Arabic Transparent"/>
          <w:b/>
          <w:bCs/>
          <w:sz w:val="24"/>
          <w:szCs w:val="24"/>
          <w:rtl/>
        </w:rPr>
      </w:pPr>
      <w:r w:rsidRPr="003F22CE">
        <w:rPr>
          <w:rFonts w:ascii="Arabic Transparent" w:eastAsia="Times New Roman" w:hAnsi="Arabic Transparent" w:cs="Arabic Transparent"/>
          <w:b/>
          <w:bCs/>
          <w:sz w:val="24"/>
          <w:szCs w:val="24"/>
          <w:rtl/>
        </w:rPr>
        <w:t>1. فهرست موضوعات كتاب بر اساس ابواب و فصول مندرج در كتاب به ترتيب شماره صفحات آن؛</w:t>
      </w:r>
    </w:p>
    <w:p w:rsidR="003F22CE" w:rsidRPr="003F22CE" w:rsidRDefault="003F22CE" w:rsidP="003F22CE">
      <w:pPr>
        <w:bidi/>
        <w:spacing w:before="100" w:beforeAutospacing="1" w:after="100" w:afterAutospacing="1" w:line="240" w:lineRule="auto"/>
        <w:rPr>
          <w:rFonts w:ascii="Arabic Transparent" w:eastAsia="Times New Roman" w:hAnsi="Arabic Transparent" w:cs="Arabic Transparent"/>
          <w:b/>
          <w:bCs/>
          <w:sz w:val="24"/>
          <w:szCs w:val="24"/>
          <w:rtl/>
        </w:rPr>
      </w:pPr>
      <w:r w:rsidRPr="003F22CE">
        <w:rPr>
          <w:rFonts w:ascii="Arabic Transparent" w:eastAsia="Times New Roman" w:hAnsi="Arabic Transparent" w:cs="Arabic Transparent"/>
          <w:b/>
          <w:bCs/>
          <w:sz w:val="24"/>
          <w:szCs w:val="24"/>
          <w:rtl/>
        </w:rPr>
        <w:t>2. فهرست تفصيلى مطالب كتاب كه بيانگر كليه عناوين مطروحه بر اساس ترتيب مطلب كتاب است؛ با اين تذكر كه اگر مطلبى در دو يا چند جاى كتاب به مناسبتى طرح و بررسى شده است در اولين مورد به ترتيب شماره صفحات كليه موارد ديگر ذكر شده است؛</w:t>
      </w:r>
    </w:p>
    <w:p w:rsidR="003F22CE" w:rsidRPr="003F22CE" w:rsidRDefault="003F22CE" w:rsidP="003F22CE">
      <w:pPr>
        <w:bidi/>
        <w:spacing w:before="100" w:beforeAutospacing="1" w:after="100" w:afterAutospacing="1" w:line="240" w:lineRule="auto"/>
        <w:rPr>
          <w:rFonts w:ascii="Arabic Transparent" w:eastAsia="Times New Roman" w:hAnsi="Arabic Transparent" w:cs="Arabic Transparent"/>
          <w:b/>
          <w:bCs/>
          <w:sz w:val="24"/>
          <w:szCs w:val="24"/>
          <w:rtl/>
        </w:rPr>
      </w:pPr>
      <w:r w:rsidRPr="003F22CE">
        <w:rPr>
          <w:rFonts w:ascii="Arabic Transparent" w:eastAsia="Times New Roman" w:hAnsi="Arabic Transparent" w:cs="Arabic Transparent"/>
          <w:b/>
          <w:bCs/>
          <w:sz w:val="24"/>
          <w:szCs w:val="24"/>
          <w:rtl/>
        </w:rPr>
        <w:t>3. در فهرست الفبايى موضوعات كليه نمايه‏ها و عناوين اصلى فهرست تفصيلى استخراج و بر اساس حروف الفبا طبقه بندى شده است.</w:t>
      </w:r>
    </w:p>
    <w:p w:rsidR="003F22CE" w:rsidRPr="003F22CE" w:rsidRDefault="003F22CE" w:rsidP="003F22CE">
      <w:pPr>
        <w:bidi/>
        <w:spacing w:before="100" w:beforeAutospacing="1" w:after="100" w:afterAutospacing="1" w:line="240" w:lineRule="auto"/>
        <w:rPr>
          <w:rFonts w:ascii="Arabic Transparent" w:eastAsia="Times New Roman" w:hAnsi="Arabic Transparent" w:cs="Arabic Transparent"/>
          <w:b/>
          <w:bCs/>
          <w:sz w:val="24"/>
          <w:szCs w:val="24"/>
          <w:rtl/>
        </w:rPr>
      </w:pPr>
      <w:r w:rsidRPr="003F22CE">
        <w:rPr>
          <w:rFonts w:ascii="Arabic Transparent" w:eastAsia="Times New Roman" w:hAnsi="Arabic Transparent" w:cs="Arabic Transparent"/>
          <w:b/>
          <w:bCs/>
          <w:sz w:val="24"/>
          <w:szCs w:val="24"/>
          <w:rtl/>
        </w:rPr>
        <w:t>عدد مقابل هر عنوان حاكى از شماره فهرست تفصيلى است به اين ترتيب خواننده به راحتى مى‏تواند با رجوع به فهرست الفبايى مطلب مورد نظر را بيابد و با شماره مندرج در جلوى عنوان به فهرست تفصيلى راه يابد و به فيش‏هاى مربوط به كليه جوانب موضوع اطلاع حاصل نمايد.</w:t>
      </w:r>
    </w:p>
    <w:p w:rsidR="003F22CE" w:rsidRPr="003F22CE" w:rsidRDefault="003F22CE" w:rsidP="003F22CE">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3F22CE">
        <w:rPr>
          <w:rFonts w:ascii="Arabic Transparent" w:eastAsia="Times New Roman" w:hAnsi="Arabic Transparent" w:cs="Arabic Transparent"/>
          <w:b/>
          <w:bCs/>
          <w:sz w:val="27"/>
          <w:szCs w:val="27"/>
          <w:rtl/>
        </w:rPr>
        <w:t>برخى از نقاط قوت كتاب:</w:t>
      </w:r>
    </w:p>
    <w:p w:rsidR="003F22CE" w:rsidRPr="003F22CE" w:rsidRDefault="003F22CE" w:rsidP="003F22CE">
      <w:pPr>
        <w:bidi/>
        <w:spacing w:before="100" w:beforeAutospacing="1" w:after="100" w:afterAutospacing="1" w:line="240" w:lineRule="auto"/>
        <w:rPr>
          <w:rFonts w:ascii="Arabic Transparent" w:eastAsia="Times New Roman" w:hAnsi="Arabic Transparent" w:cs="Arabic Transparent"/>
          <w:b/>
          <w:bCs/>
          <w:sz w:val="24"/>
          <w:szCs w:val="24"/>
          <w:rtl/>
        </w:rPr>
      </w:pPr>
      <w:r w:rsidRPr="003F22CE">
        <w:rPr>
          <w:rFonts w:ascii="Arabic Transparent" w:eastAsia="Times New Roman" w:hAnsi="Arabic Transparent" w:cs="Arabic Transparent"/>
          <w:b/>
          <w:bCs/>
          <w:sz w:val="24"/>
          <w:szCs w:val="24"/>
          <w:rtl/>
        </w:rPr>
        <w:t>علاوه بر مطالب فوق الذكر مى‏توان نكات ذيل را از موارد قوت كتاب نام برد:</w:t>
      </w:r>
    </w:p>
    <w:p w:rsidR="003F22CE" w:rsidRPr="003F22CE" w:rsidRDefault="003F22CE" w:rsidP="003F22CE">
      <w:pPr>
        <w:bidi/>
        <w:spacing w:before="100" w:beforeAutospacing="1" w:after="100" w:afterAutospacing="1" w:line="240" w:lineRule="auto"/>
        <w:rPr>
          <w:rFonts w:ascii="Arabic Transparent" w:eastAsia="Times New Roman" w:hAnsi="Arabic Transparent" w:cs="Arabic Transparent"/>
          <w:b/>
          <w:bCs/>
          <w:sz w:val="24"/>
          <w:szCs w:val="24"/>
          <w:rtl/>
        </w:rPr>
      </w:pPr>
      <w:r w:rsidRPr="003F22CE">
        <w:rPr>
          <w:rFonts w:ascii="Arabic Transparent" w:eastAsia="Times New Roman" w:hAnsi="Arabic Transparent" w:cs="Arabic Transparent"/>
          <w:b/>
          <w:bCs/>
          <w:sz w:val="24"/>
          <w:szCs w:val="24"/>
          <w:rtl/>
        </w:rPr>
        <w:t>1. بررسى معناى لغوى و شرعى و ترمينولوژى حقوقى هر يك از عناوين مربوطه و ارائه تعريف صحيح آن با توجه به موقعيت و وضعيت كاربردى آن در كلام فقها؛ مانند تعريف حق، ملك، رخصت و حكم ص 23 تا 26 ... ؛</w:t>
      </w:r>
    </w:p>
    <w:p w:rsidR="003F22CE" w:rsidRPr="003F22CE" w:rsidRDefault="003F22CE" w:rsidP="003F22CE">
      <w:pPr>
        <w:bidi/>
        <w:spacing w:before="100" w:beforeAutospacing="1" w:after="100" w:afterAutospacing="1" w:line="240" w:lineRule="auto"/>
        <w:rPr>
          <w:rFonts w:ascii="Arabic Transparent" w:eastAsia="Times New Roman" w:hAnsi="Arabic Transparent" w:cs="Arabic Transparent"/>
          <w:b/>
          <w:bCs/>
          <w:sz w:val="24"/>
          <w:szCs w:val="24"/>
          <w:rtl/>
        </w:rPr>
      </w:pPr>
      <w:r w:rsidRPr="003F22CE">
        <w:rPr>
          <w:rFonts w:ascii="Arabic Transparent" w:eastAsia="Times New Roman" w:hAnsi="Arabic Transparent" w:cs="Arabic Transparent"/>
          <w:b/>
          <w:bCs/>
          <w:sz w:val="24"/>
          <w:szCs w:val="24"/>
          <w:rtl/>
        </w:rPr>
        <w:t xml:space="preserve">2. طرح مسأله فقهى و ريشه‏يابى آن در كلام قدما، و متأخران؛ </w:t>
      </w:r>
    </w:p>
    <w:p w:rsidR="003F22CE" w:rsidRPr="003F22CE" w:rsidRDefault="003F22CE" w:rsidP="003F22CE">
      <w:pPr>
        <w:bidi/>
        <w:spacing w:before="100" w:beforeAutospacing="1" w:after="100" w:afterAutospacing="1" w:line="240" w:lineRule="auto"/>
        <w:rPr>
          <w:rFonts w:ascii="Arabic Transparent" w:eastAsia="Times New Roman" w:hAnsi="Arabic Transparent" w:cs="Arabic Transparent"/>
          <w:b/>
          <w:bCs/>
          <w:sz w:val="24"/>
          <w:szCs w:val="24"/>
          <w:rtl/>
        </w:rPr>
      </w:pPr>
      <w:r w:rsidRPr="003F22CE">
        <w:rPr>
          <w:rFonts w:ascii="Arabic Transparent" w:eastAsia="Times New Roman" w:hAnsi="Arabic Transparent" w:cs="Arabic Transparent"/>
          <w:b/>
          <w:bCs/>
          <w:sz w:val="24"/>
          <w:szCs w:val="24"/>
          <w:rtl/>
        </w:rPr>
        <w:t>3. مقارنه و تطبيق انظار فقهاى مذاهب اربعه با فقهاى شيعه و تطبيق بين شركتهاى تجارى حقوقى با شركت فقهى؛</w:t>
      </w:r>
    </w:p>
    <w:p w:rsidR="003F22CE" w:rsidRPr="003F22CE" w:rsidRDefault="003F22CE" w:rsidP="003F22CE">
      <w:pPr>
        <w:bidi/>
        <w:spacing w:before="100" w:beforeAutospacing="1" w:after="100" w:afterAutospacing="1" w:line="240" w:lineRule="auto"/>
        <w:rPr>
          <w:rFonts w:ascii="Arabic Transparent" w:eastAsia="Times New Roman" w:hAnsi="Arabic Transparent" w:cs="Arabic Transparent"/>
          <w:b/>
          <w:bCs/>
          <w:sz w:val="24"/>
          <w:szCs w:val="24"/>
          <w:rtl/>
        </w:rPr>
      </w:pPr>
      <w:r w:rsidRPr="003F22CE">
        <w:rPr>
          <w:rFonts w:ascii="Arabic Transparent" w:eastAsia="Times New Roman" w:hAnsi="Arabic Transparent" w:cs="Arabic Transparent"/>
          <w:b/>
          <w:bCs/>
          <w:sz w:val="24"/>
          <w:szCs w:val="24"/>
          <w:rtl/>
        </w:rPr>
        <w:t>4. عنوان مسائل كليدى و كليات حقوق تعهدات؛ مانند عقد، ايجاب، قبول، بحث توقيفى، نبودن عناوين معاملات، شخصيت حقوقى و نحوه مالكيت آن، اصالة البطلان، لزوم وفاى به تعهدات، بحث از آيه شريفه تجارة عن تراض... (نساء 29). انواع بطلان و شروط، قاعده تسليط، حقيقت مالكيت و انواع آن، بيان ماهيت تأسيس شركت، جمعيت قرعه حقوق معنويه، اقسام ضمان و ... ؛</w:t>
      </w:r>
    </w:p>
    <w:p w:rsidR="003F22CE" w:rsidRPr="003F22CE" w:rsidRDefault="003F22CE" w:rsidP="003F22CE">
      <w:pPr>
        <w:bidi/>
        <w:spacing w:before="100" w:beforeAutospacing="1" w:after="100" w:afterAutospacing="1" w:line="240" w:lineRule="auto"/>
        <w:rPr>
          <w:rFonts w:ascii="Arabic Transparent" w:eastAsia="Times New Roman" w:hAnsi="Arabic Transparent" w:cs="Arabic Transparent"/>
          <w:b/>
          <w:bCs/>
          <w:sz w:val="24"/>
          <w:szCs w:val="24"/>
          <w:rtl/>
        </w:rPr>
      </w:pPr>
      <w:r w:rsidRPr="003F22CE">
        <w:rPr>
          <w:rFonts w:ascii="Arabic Transparent" w:eastAsia="Times New Roman" w:hAnsi="Arabic Transparent" w:cs="Arabic Transparent"/>
          <w:b/>
          <w:bCs/>
          <w:sz w:val="24"/>
          <w:szCs w:val="24"/>
          <w:rtl/>
        </w:rPr>
        <w:t>5. شجاعت مولف محقق در ابراز نظر بر خلاف مشهور مانند صحت شركة الابدان، بيان ماهيت شركة الوجوه و ترسيم وجه صحت آن و ... ؛</w:t>
      </w:r>
    </w:p>
    <w:p w:rsidR="003F22CE" w:rsidRPr="003F22CE" w:rsidRDefault="003F22CE" w:rsidP="003F22CE">
      <w:pPr>
        <w:bidi/>
        <w:spacing w:before="100" w:beforeAutospacing="1" w:after="100" w:afterAutospacing="1" w:line="240" w:lineRule="auto"/>
        <w:rPr>
          <w:rFonts w:ascii="Arabic Transparent" w:eastAsia="Times New Roman" w:hAnsi="Arabic Transparent" w:cs="Arabic Transparent"/>
          <w:b/>
          <w:bCs/>
          <w:sz w:val="24"/>
          <w:szCs w:val="24"/>
          <w:rtl/>
        </w:rPr>
      </w:pPr>
      <w:r w:rsidRPr="003F22CE">
        <w:rPr>
          <w:rFonts w:ascii="Arabic Transparent" w:eastAsia="Times New Roman" w:hAnsi="Arabic Transparent" w:cs="Arabic Transparent"/>
          <w:b/>
          <w:bCs/>
          <w:sz w:val="24"/>
          <w:szCs w:val="24"/>
          <w:rtl/>
        </w:rPr>
        <w:t>6. ريشه يابى اجماعهاى ادعا شده و تصحيح و يا ردّ آنها؛</w:t>
      </w:r>
    </w:p>
    <w:p w:rsidR="003F22CE" w:rsidRPr="003F22CE" w:rsidRDefault="003F22CE" w:rsidP="003F22CE">
      <w:pPr>
        <w:bidi/>
        <w:spacing w:before="100" w:beforeAutospacing="1" w:after="100" w:afterAutospacing="1" w:line="240" w:lineRule="auto"/>
        <w:rPr>
          <w:rFonts w:ascii="Arabic Transparent" w:eastAsia="Times New Roman" w:hAnsi="Arabic Transparent" w:cs="Arabic Transparent"/>
          <w:b/>
          <w:bCs/>
          <w:sz w:val="24"/>
          <w:szCs w:val="24"/>
          <w:rtl/>
        </w:rPr>
      </w:pPr>
      <w:r w:rsidRPr="003F22CE">
        <w:rPr>
          <w:rFonts w:ascii="Arabic Transparent" w:eastAsia="Times New Roman" w:hAnsi="Arabic Transparent" w:cs="Arabic Transparent"/>
          <w:b/>
          <w:bCs/>
          <w:sz w:val="24"/>
          <w:szCs w:val="24"/>
          <w:rtl/>
        </w:rPr>
        <w:t>7. تصوير صور مختلف و تشقيق شقوق جديد و تفصيل احكام مربوط به آن؛ مانند اقام شرط زياده در ص 81؛</w:t>
      </w:r>
    </w:p>
    <w:p w:rsidR="003F22CE" w:rsidRPr="003F22CE" w:rsidRDefault="003F22CE" w:rsidP="003F22CE">
      <w:pPr>
        <w:bidi/>
        <w:spacing w:before="100" w:beforeAutospacing="1" w:after="100" w:afterAutospacing="1" w:line="240" w:lineRule="auto"/>
        <w:rPr>
          <w:rFonts w:ascii="Arabic Transparent" w:eastAsia="Times New Roman" w:hAnsi="Arabic Transparent" w:cs="Arabic Transparent"/>
          <w:b/>
          <w:bCs/>
          <w:sz w:val="24"/>
          <w:szCs w:val="24"/>
          <w:rtl/>
        </w:rPr>
      </w:pPr>
      <w:r w:rsidRPr="003F22CE">
        <w:rPr>
          <w:rFonts w:ascii="Arabic Transparent" w:eastAsia="Times New Roman" w:hAnsi="Arabic Transparent" w:cs="Arabic Transparent"/>
          <w:b/>
          <w:bCs/>
          <w:sz w:val="24"/>
          <w:szCs w:val="24"/>
          <w:rtl/>
        </w:rPr>
        <w:t>8. بيان آدرس دقيق آيات روايت و اقوال مذكور در كتاب؛</w:t>
      </w:r>
    </w:p>
    <w:p w:rsidR="003F22CE" w:rsidRPr="003F22CE" w:rsidRDefault="003F22CE" w:rsidP="003F22CE">
      <w:pPr>
        <w:bidi/>
        <w:spacing w:before="100" w:beforeAutospacing="1" w:after="100" w:afterAutospacing="1" w:line="240" w:lineRule="auto"/>
        <w:rPr>
          <w:rFonts w:ascii="Arabic Transparent" w:eastAsia="Times New Roman" w:hAnsi="Arabic Transparent" w:cs="Arabic Transparent"/>
          <w:b/>
          <w:bCs/>
          <w:sz w:val="24"/>
          <w:szCs w:val="24"/>
          <w:rtl/>
        </w:rPr>
      </w:pPr>
      <w:r w:rsidRPr="003F22CE">
        <w:rPr>
          <w:rFonts w:ascii="Arabic Transparent" w:eastAsia="Times New Roman" w:hAnsi="Arabic Transparent" w:cs="Arabic Transparent"/>
          <w:b/>
          <w:bCs/>
          <w:sz w:val="24"/>
          <w:szCs w:val="24"/>
          <w:rtl/>
        </w:rPr>
        <w:t>9. ابا نداشتن از طرح مسائل نوين فقهى و طرح مسائل نو؛</w:t>
      </w:r>
    </w:p>
    <w:p w:rsidR="003F22CE" w:rsidRPr="003F22CE" w:rsidRDefault="003F22CE" w:rsidP="003F22CE">
      <w:pPr>
        <w:bidi/>
        <w:spacing w:before="100" w:beforeAutospacing="1" w:after="100" w:afterAutospacing="1" w:line="240" w:lineRule="auto"/>
        <w:rPr>
          <w:rFonts w:ascii="Arabic Transparent" w:eastAsia="Times New Roman" w:hAnsi="Arabic Transparent" w:cs="Arabic Transparent"/>
          <w:b/>
          <w:bCs/>
          <w:sz w:val="24"/>
          <w:szCs w:val="24"/>
          <w:rtl/>
        </w:rPr>
      </w:pPr>
      <w:r w:rsidRPr="003F22CE">
        <w:rPr>
          <w:rFonts w:ascii="Arabic Transparent" w:eastAsia="Times New Roman" w:hAnsi="Arabic Transparent" w:cs="Arabic Transparent"/>
          <w:b/>
          <w:bCs/>
          <w:sz w:val="24"/>
          <w:szCs w:val="24"/>
          <w:rtl/>
        </w:rPr>
        <w:lastRenderedPageBreak/>
        <w:t>10. نزاكت ادبى و حوصله مولف محترم در نقل اقوال مخالف.</w:t>
      </w:r>
    </w:p>
    <w:p w:rsidR="003F22CE" w:rsidRPr="003F22CE" w:rsidRDefault="003F22CE" w:rsidP="003F22CE">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3F22CE">
        <w:rPr>
          <w:rFonts w:ascii="Arabic Transparent" w:eastAsia="Times New Roman" w:hAnsi="Arabic Transparent" w:cs="Arabic Transparent"/>
          <w:b/>
          <w:bCs/>
          <w:sz w:val="24"/>
          <w:szCs w:val="24"/>
          <w:rtl/>
        </w:rPr>
        <w:t>پيشنهادات:</w:t>
      </w:r>
    </w:p>
    <w:p w:rsidR="003F22CE" w:rsidRPr="003F22CE" w:rsidRDefault="003F22CE" w:rsidP="003F22CE">
      <w:pPr>
        <w:bidi/>
        <w:spacing w:before="100" w:beforeAutospacing="1" w:after="100" w:afterAutospacing="1" w:line="240" w:lineRule="auto"/>
        <w:rPr>
          <w:rFonts w:ascii="Arabic Transparent" w:eastAsia="Times New Roman" w:hAnsi="Arabic Transparent" w:cs="Arabic Transparent"/>
          <w:b/>
          <w:bCs/>
          <w:sz w:val="24"/>
          <w:szCs w:val="24"/>
          <w:rtl/>
        </w:rPr>
      </w:pPr>
      <w:r w:rsidRPr="003F22CE">
        <w:rPr>
          <w:rFonts w:ascii="Arabic Transparent" w:eastAsia="Times New Roman" w:hAnsi="Arabic Transparent" w:cs="Arabic Transparent"/>
          <w:b/>
          <w:bCs/>
          <w:sz w:val="24"/>
          <w:szCs w:val="24"/>
          <w:rtl/>
        </w:rPr>
        <w:t>1. با وجود دقت در چاپ و تجليد و انتخاب حروف مناسب و تصحيح متن هنوز كتاب از نظر ويرايشى و علامت گذارى و تصحيح برخى اغلاط نياز به دقتى جديد دارد؛</w:t>
      </w:r>
    </w:p>
    <w:p w:rsidR="003F22CE" w:rsidRPr="003F22CE" w:rsidRDefault="003F22CE" w:rsidP="003F22CE">
      <w:pPr>
        <w:bidi/>
        <w:spacing w:before="100" w:beforeAutospacing="1" w:after="100" w:afterAutospacing="1" w:line="240" w:lineRule="auto"/>
        <w:rPr>
          <w:rFonts w:ascii="Arabic Transparent" w:eastAsia="Times New Roman" w:hAnsi="Arabic Transparent" w:cs="Arabic Transparent"/>
          <w:b/>
          <w:bCs/>
          <w:sz w:val="24"/>
          <w:szCs w:val="24"/>
          <w:rtl/>
        </w:rPr>
      </w:pPr>
      <w:r w:rsidRPr="003F22CE">
        <w:rPr>
          <w:rFonts w:ascii="Arabic Transparent" w:eastAsia="Times New Roman" w:hAnsi="Arabic Transparent" w:cs="Arabic Transparent"/>
          <w:b/>
          <w:bCs/>
          <w:sz w:val="24"/>
          <w:szCs w:val="24"/>
          <w:rtl/>
        </w:rPr>
        <w:t>2. بجا بود مؤلف محترم فصل دوم و سوم فقه الشركة سنهورى و مسائل هفت تا ده تأمين التحرير الوسيله نيز به طور مبسوط مطرح مى‏نمود؛</w:t>
      </w:r>
    </w:p>
    <w:p w:rsidR="003F22CE" w:rsidRPr="003F22CE" w:rsidRDefault="003F22CE" w:rsidP="003F22CE">
      <w:pPr>
        <w:bidi/>
        <w:spacing w:before="100" w:beforeAutospacing="1" w:after="100" w:afterAutospacing="1" w:line="240" w:lineRule="auto"/>
        <w:rPr>
          <w:rFonts w:ascii="Arabic Transparent" w:eastAsia="Times New Roman" w:hAnsi="Arabic Transparent" w:cs="Arabic Transparent"/>
          <w:b/>
          <w:bCs/>
          <w:sz w:val="24"/>
          <w:szCs w:val="24"/>
          <w:rtl/>
        </w:rPr>
      </w:pPr>
      <w:r w:rsidRPr="003F22CE">
        <w:rPr>
          <w:rFonts w:ascii="Arabic Transparent" w:eastAsia="Times New Roman" w:hAnsi="Arabic Transparent" w:cs="Arabic Transparent"/>
          <w:b/>
          <w:bCs/>
          <w:sz w:val="24"/>
          <w:szCs w:val="24"/>
          <w:rtl/>
        </w:rPr>
        <w:t>3. از جهت طرح نو بعضى مسائل بهتر بود برخى مسائل خصوصاً در كتاب التأمين و اقسام شركت با تفصيل بيشترى بررسى گردد.</w:t>
      </w:r>
    </w:p>
    <w:p w:rsidR="003F22CE" w:rsidRPr="003F22CE" w:rsidRDefault="003F22CE" w:rsidP="003F22CE">
      <w:pPr>
        <w:bidi/>
        <w:spacing w:before="100" w:beforeAutospacing="1" w:after="100" w:afterAutospacing="1" w:line="240" w:lineRule="auto"/>
        <w:rPr>
          <w:rFonts w:ascii="Arabic Transparent" w:eastAsia="Times New Roman" w:hAnsi="Arabic Transparent" w:cs="Arabic Transparent"/>
          <w:b/>
          <w:bCs/>
          <w:sz w:val="24"/>
          <w:szCs w:val="24"/>
          <w:rtl/>
        </w:rPr>
      </w:pPr>
      <w:r w:rsidRPr="003F22CE">
        <w:rPr>
          <w:rFonts w:ascii="Arabic Transparent" w:eastAsia="Times New Roman" w:hAnsi="Arabic Transparent" w:cs="Arabic Transparent"/>
          <w:b/>
          <w:bCs/>
          <w:sz w:val="24"/>
          <w:szCs w:val="24"/>
          <w:rtl/>
        </w:rPr>
        <w:t xml:space="preserve">* * * </w:t>
      </w:r>
    </w:p>
    <w:p w:rsidR="003F22CE" w:rsidRPr="003F22CE" w:rsidRDefault="003F22CE" w:rsidP="003F22CE">
      <w:pPr>
        <w:bidi/>
        <w:spacing w:before="100" w:beforeAutospacing="1" w:after="100" w:afterAutospacing="1" w:line="240" w:lineRule="auto"/>
        <w:rPr>
          <w:rFonts w:ascii="Arabic Transparent" w:eastAsia="Times New Roman" w:hAnsi="Arabic Transparent" w:cs="Arabic Transparent"/>
          <w:b/>
          <w:bCs/>
          <w:sz w:val="24"/>
          <w:szCs w:val="24"/>
          <w:rtl/>
        </w:rPr>
      </w:pPr>
      <w:r w:rsidRPr="003F22CE">
        <w:rPr>
          <w:rFonts w:ascii="Arabic Transparent" w:eastAsia="Times New Roman" w:hAnsi="Arabic Transparent" w:cs="Arabic Transparent"/>
          <w:b/>
          <w:bCs/>
          <w:sz w:val="24"/>
          <w:szCs w:val="24"/>
          <w:rtl/>
        </w:rPr>
        <w:t>به تناسب سزاوار است اندكى درباره دكتر سنهورى و كتاب الوسيط صحبت كنيم:</w:t>
      </w:r>
    </w:p>
    <w:p w:rsidR="003F22CE" w:rsidRPr="003F22CE" w:rsidRDefault="003F22CE" w:rsidP="003F22CE">
      <w:pPr>
        <w:bidi/>
        <w:spacing w:before="100" w:beforeAutospacing="1" w:after="100" w:afterAutospacing="1" w:line="240" w:lineRule="auto"/>
        <w:rPr>
          <w:rFonts w:ascii="Arabic Transparent" w:eastAsia="Times New Roman" w:hAnsi="Arabic Transparent" w:cs="Arabic Transparent"/>
          <w:b/>
          <w:bCs/>
          <w:sz w:val="24"/>
          <w:szCs w:val="24"/>
          <w:rtl/>
        </w:rPr>
      </w:pPr>
      <w:r w:rsidRPr="003F22CE">
        <w:rPr>
          <w:rFonts w:ascii="Arabic Transparent" w:eastAsia="Times New Roman" w:hAnsi="Arabic Transparent" w:cs="Arabic Transparent"/>
          <w:b/>
          <w:bCs/>
          <w:sz w:val="24"/>
          <w:szCs w:val="24"/>
          <w:rtl/>
        </w:rPr>
        <w:t>دكتر عبدالرزاق بن احمد السنهورى (1895 ـ 1971 م) بنابر نظر بسيارى چون زركلى، از بزرگان علماى حقوق مدنى در عصر خود بود؛ او در شهر اسكندريه مصر زاده شد و پس از چندى كارمندى گمرك به تحصيل حقوق در قاهره پرداخت؛ در سال 1921 به فرانسه اعزام شد. در سال 1926 موفق به اخذ دكتراى اقتصاد، حقوق و سياست گرديد. وى با لقب پاشا بارها به وزارت معارف مصر رسيد. در سال 1946 عضو مجمع لغت عربى گرديد و از سال 1945 ـ 1954 به رياست مجلس دولت مصر رسيد. (در سال 1945 ميلادى دو واقعه در مصر رخ داد يكى شهادت جمعى از اعضاى اخوان المسلمين از جمله عالم بزرگ حقوق جزاى اسلام عبد القادر عوده نويسنده كتاب وزين التشريع الجنايى الاسلامى و ديگرى حمله به مجلس دولتى مصر و ضرب دكتر عبدالرزاق سنهورى در خلال آن.)8</w:t>
      </w:r>
    </w:p>
    <w:p w:rsidR="003F22CE" w:rsidRPr="003F22CE" w:rsidRDefault="003F22CE" w:rsidP="003F22CE">
      <w:pPr>
        <w:bidi/>
        <w:spacing w:before="100" w:beforeAutospacing="1" w:after="100" w:afterAutospacing="1" w:line="240" w:lineRule="auto"/>
        <w:rPr>
          <w:rFonts w:ascii="Arabic Transparent" w:eastAsia="Times New Roman" w:hAnsi="Arabic Transparent" w:cs="Arabic Transparent"/>
          <w:b/>
          <w:bCs/>
          <w:sz w:val="24"/>
          <w:szCs w:val="24"/>
          <w:rtl/>
        </w:rPr>
      </w:pPr>
      <w:r w:rsidRPr="003F22CE">
        <w:rPr>
          <w:rFonts w:ascii="Arabic Transparent" w:eastAsia="Times New Roman" w:hAnsi="Arabic Transparent" w:cs="Arabic Transparent"/>
          <w:b/>
          <w:bCs/>
          <w:sz w:val="24"/>
          <w:szCs w:val="24"/>
          <w:rtl/>
        </w:rPr>
        <w:t xml:space="preserve">سنهورى واضع مواد زيادى از قوانين مدنى مصر، عراق، سوريه، ليبى و كويت محسوب مى‏گردد؛ وى در سال 1970 موفق به اخذ نشان تقدير در علوم اجتماعى گرديد. او در سن 78 سالگى در قاهره در گذشت. </w:t>
      </w:r>
    </w:p>
    <w:p w:rsidR="003F22CE" w:rsidRPr="003F22CE" w:rsidRDefault="003F22CE" w:rsidP="003F22CE">
      <w:pPr>
        <w:bidi/>
        <w:spacing w:before="100" w:beforeAutospacing="1" w:after="100" w:afterAutospacing="1" w:line="240" w:lineRule="auto"/>
        <w:rPr>
          <w:rFonts w:ascii="Arabic Transparent" w:eastAsia="Times New Roman" w:hAnsi="Arabic Transparent" w:cs="Arabic Transparent"/>
          <w:b/>
          <w:bCs/>
          <w:sz w:val="24"/>
          <w:szCs w:val="24"/>
          <w:rtl/>
        </w:rPr>
      </w:pPr>
      <w:r w:rsidRPr="003F22CE">
        <w:rPr>
          <w:rFonts w:ascii="Arabic Transparent" w:eastAsia="Times New Roman" w:hAnsi="Arabic Transparent" w:cs="Arabic Transparent"/>
          <w:b/>
          <w:bCs/>
          <w:sz w:val="24"/>
          <w:szCs w:val="24"/>
          <w:rtl/>
        </w:rPr>
        <w:t>از كتابهاى سنهورى مى‏توان به موارد زير اشاره كرد:</w:t>
      </w:r>
    </w:p>
    <w:p w:rsidR="003F22CE" w:rsidRPr="003F22CE" w:rsidRDefault="003F22CE" w:rsidP="003F22CE">
      <w:pPr>
        <w:bidi/>
        <w:spacing w:before="100" w:beforeAutospacing="1" w:after="100" w:afterAutospacing="1" w:line="240" w:lineRule="auto"/>
        <w:rPr>
          <w:rFonts w:ascii="Arabic Transparent" w:eastAsia="Times New Roman" w:hAnsi="Arabic Transparent" w:cs="Arabic Transparent"/>
          <w:b/>
          <w:bCs/>
          <w:sz w:val="24"/>
          <w:szCs w:val="24"/>
          <w:rtl/>
        </w:rPr>
      </w:pPr>
      <w:r w:rsidRPr="003F22CE">
        <w:rPr>
          <w:rFonts w:ascii="Arabic Transparent" w:eastAsia="Times New Roman" w:hAnsi="Arabic Transparent" w:cs="Arabic Transparent"/>
          <w:b/>
          <w:bCs/>
          <w:sz w:val="24"/>
          <w:szCs w:val="24"/>
          <w:rtl/>
        </w:rPr>
        <w:t>نظريه العقد فى الفقه الاسلامى، الوسيط فى شرح القانون المدنى، مصادر الحق فى الفقه الاسلامى، اصول القانون (المدخل لدراسة القانون) النظريه العامة للالتزامات فى القانون المدنى مصرى.9</w:t>
      </w:r>
    </w:p>
    <w:p w:rsidR="003F22CE" w:rsidRPr="003F22CE" w:rsidRDefault="003F22CE" w:rsidP="003F22CE">
      <w:pPr>
        <w:bidi/>
        <w:spacing w:before="100" w:beforeAutospacing="1" w:after="100" w:afterAutospacing="1" w:line="240" w:lineRule="auto"/>
        <w:rPr>
          <w:rFonts w:ascii="Arabic Transparent" w:eastAsia="Times New Roman" w:hAnsi="Arabic Transparent" w:cs="Arabic Transparent"/>
          <w:b/>
          <w:bCs/>
          <w:sz w:val="24"/>
          <w:szCs w:val="24"/>
          <w:rtl/>
        </w:rPr>
      </w:pPr>
      <w:r w:rsidRPr="003F22CE">
        <w:rPr>
          <w:rFonts w:ascii="Arabic Transparent" w:eastAsia="Times New Roman" w:hAnsi="Arabic Transparent" w:cs="Arabic Transparent"/>
          <w:b/>
          <w:bCs/>
          <w:sz w:val="24"/>
          <w:szCs w:val="24"/>
          <w:rtl/>
        </w:rPr>
        <w:t>قابل ذكر است كه دكتر سنهورى در سفرى به نجف اشرف مورد استقبال علماى شيعه واقع شد و مرحوم مظفر كتاب مكاسب شيخ انصارى (ره) به وى معرفى كرد، سنهورى پس از مطالعه آن گفت اگر قبلاً براين كتاب دست مى‏يافتم برخى از تأليفات خود را به گونه‏اى ديگر مى‏نوشتم.</w:t>
      </w:r>
    </w:p>
    <w:p w:rsidR="003F22CE" w:rsidRPr="003F22CE" w:rsidRDefault="003F22CE" w:rsidP="003F22CE">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3F22CE">
        <w:rPr>
          <w:rFonts w:ascii="Arabic Transparent" w:eastAsia="Times New Roman" w:hAnsi="Arabic Transparent" w:cs="Arabic Transparent"/>
          <w:b/>
          <w:bCs/>
          <w:sz w:val="27"/>
          <w:szCs w:val="27"/>
          <w:rtl/>
        </w:rPr>
        <w:t>الوسيط فى شرح القانون المدنى الجديد</w:t>
      </w:r>
    </w:p>
    <w:p w:rsidR="003F22CE" w:rsidRPr="003F22CE" w:rsidRDefault="003F22CE" w:rsidP="003F22CE">
      <w:pPr>
        <w:bidi/>
        <w:spacing w:before="100" w:beforeAutospacing="1" w:after="100" w:afterAutospacing="1" w:line="240" w:lineRule="auto"/>
        <w:rPr>
          <w:rFonts w:ascii="Arabic Transparent" w:eastAsia="Times New Roman" w:hAnsi="Arabic Transparent" w:cs="Arabic Transparent"/>
          <w:b/>
          <w:bCs/>
          <w:sz w:val="24"/>
          <w:szCs w:val="24"/>
          <w:rtl/>
        </w:rPr>
      </w:pPr>
      <w:r w:rsidRPr="003F22CE">
        <w:rPr>
          <w:rFonts w:ascii="Arabic Transparent" w:eastAsia="Times New Roman" w:hAnsi="Arabic Transparent" w:cs="Arabic Transparent"/>
          <w:b/>
          <w:bCs/>
          <w:sz w:val="24"/>
          <w:szCs w:val="24"/>
          <w:rtl/>
        </w:rPr>
        <w:t>وسيط در اصطلاح به كتابى گفته مى‏شود كه مباحث آن بر اساس اعتدال و بين ايجاز و تفصيل تحرير شده باشد. در مقابل، وجيز يعنى مختصر و مبسوط مشروح آن مى‏باشد. مولف در مقدمه كتاب مى‏گويد: اگر خداوند عمرى دهد بعد از وسيط، الوجيز و پس از آن المبسوط را با كمك دوستان مى‏نويسم ولى ظاهراً مؤلف به نوشتن آن موفق شد.</w:t>
      </w:r>
    </w:p>
    <w:p w:rsidR="003F22CE" w:rsidRPr="003F22CE" w:rsidRDefault="003F22CE" w:rsidP="003F22CE">
      <w:pPr>
        <w:bidi/>
        <w:spacing w:before="100" w:beforeAutospacing="1" w:after="100" w:afterAutospacing="1" w:line="240" w:lineRule="auto"/>
        <w:rPr>
          <w:rFonts w:ascii="Arabic Transparent" w:eastAsia="Times New Roman" w:hAnsi="Arabic Transparent" w:cs="Arabic Transparent"/>
          <w:b/>
          <w:bCs/>
          <w:sz w:val="24"/>
          <w:szCs w:val="24"/>
          <w:rtl/>
        </w:rPr>
      </w:pPr>
      <w:r w:rsidRPr="003F22CE">
        <w:rPr>
          <w:rFonts w:ascii="Arabic Transparent" w:eastAsia="Times New Roman" w:hAnsi="Arabic Transparent" w:cs="Arabic Transparent"/>
          <w:b/>
          <w:bCs/>
          <w:sz w:val="24"/>
          <w:szCs w:val="24"/>
          <w:rtl/>
        </w:rPr>
        <w:t xml:space="preserve">الوسيط شرحى است بر قانون جديد مصر كه در سال 1984 ميلادى در 4911 ماده به تصويب رسيد و در 15 اكتبر 1949 لازم الاجرا شد. در مقابل، قانون مدنى قديم مصر با قانون مدنى مختلط، مجموعه قوانينى است كه مانورى </w:t>
      </w:r>
      <w:proofErr w:type="spellStart"/>
      <w:r w:rsidRPr="003F22CE">
        <w:rPr>
          <w:rFonts w:ascii="Arabic Transparent" w:eastAsia="Times New Roman" w:hAnsi="Arabic Transparent" w:cs="Arabic Transparent"/>
          <w:b/>
          <w:bCs/>
          <w:sz w:val="24"/>
          <w:szCs w:val="24"/>
        </w:rPr>
        <w:t>Manoury</w:t>
      </w:r>
      <w:proofErr w:type="spellEnd"/>
      <w:r w:rsidRPr="003F22CE">
        <w:rPr>
          <w:rFonts w:ascii="Arabic Transparent" w:eastAsia="Times New Roman" w:hAnsi="Arabic Transparent" w:cs="Arabic Transparent"/>
          <w:b/>
          <w:bCs/>
          <w:sz w:val="24"/>
          <w:szCs w:val="24"/>
          <w:rtl/>
        </w:rPr>
        <w:t xml:space="preserve">وكيل فرانسوى مقيم اسكندريه آن را از قانونى مدنى و فرانسه و ايتاليا و برخى از احكام اسلامى اقتباس </w:t>
      </w:r>
      <w:r w:rsidRPr="003F22CE">
        <w:rPr>
          <w:rFonts w:ascii="Arabic Transparent" w:eastAsia="Times New Roman" w:hAnsi="Arabic Transparent" w:cs="Arabic Transparent"/>
          <w:b/>
          <w:bCs/>
          <w:sz w:val="24"/>
          <w:szCs w:val="24"/>
          <w:rtl/>
        </w:rPr>
        <w:lastRenderedPageBreak/>
        <w:t>كرد، و در سال 1875 ميلادى تدوين آن به پايان رسيد، سپس توسط گروهى مركب از محمد قدرى، حسين فخرى و پطرس غالى به زبان عربى ترجمه شد. قانون مدنى جديد مصر مبتنى بر سه مصدر اصلى است:</w:t>
      </w:r>
    </w:p>
    <w:p w:rsidR="003F22CE" w:rsidRPr="003F22CE" w:rsidRDefault="003F22CE" w:rsidP="003F22CE">
      <w:pPr>
        <w:bidi/>
        <w:spacing w:before="100" w:beforeAutospacing="1" w:after="100" w:afterAutospacing="1" w:line="240" w:lineRule="auto"/>
        <w:rPr>
          <w:rFonts w:ascii="Arabic Transparent" w:eastAsia="Times New Roman" w:hAnsi="Arabic Transparent" w:cs="Arabic Transparent"/>
          <w:b/>
          <w:bCs/>
          <w:sz w:val="24"/>
          <w:szCs w:val="24"/>
          <w:rtl/>
        </w:rPr>
      </w:pPr>
      <w:r w:rsidRPr="003F22CE">
        <w:rPr>
          <w:rFonts w:ascii="Arabic Transparent" w:eastAsia="Times New Roman" w:hAnsi="Arabic Transparent" w:cs="Arabic Transparent"/>
          <w:b/>
          <w:bCs/>
          <w:sz w:val="24"/>
          <w:szCs w:val="24"/>
          <w:rtl/>
        </w:rPr>
        <w:t>1. نصوص قانون مدنى قديم و احكام قضات مصر؛</w:t>
      </w:r>
    </w:p>
    <w:p w:rsidR="003F22CE" w:rsidRPr="003F22CE" w:rsidRDefault="003F22CE" w:rsidP="003F22CE">
      <w:pPr>
        <w:bidi/>
        <w:spacing w:before="100" w:beforeAutospacing="1" w:after="100" w:afterAutospacing="1" w:line="240" w:lineRule="auto"/>
        <w:rPr>
          <w:rFonts w:ascii="Arabic Transparent" w:eastAsia="Times New Roman" w:hAnsi="Arabic Transparent" w:cs="Arabic Transparent"/>
          <w:b/>
          <w:bCs/>
          <w:sz w:val="24"/>
          <w:szCs w:val="24"/>
          <w:rtl/>
        </w:rPr>
      </w:pPr>
      <w:r w:rsidRPr="003F22CE">
        <w:rPr>
          <w:rFonts w:ascii="Arabic Transparent" w:eastAsia="Times New Roman" w:hAnsi="Arabic Transparent" w:cs="Arabic Transparent"/>
          <w:b/>
          <w:bCs/>
          <w:sz w:val="24"/>
          <w:szCs w:val="24"/>
          <w:rtl/>
        </w:rPr>
        <w:t>2. فقه اسلامى؛</w:t>
      </w:r>
    </w:p>
    <w:p w:rsidR="003F22CE" w:rsidRPr="003F22CE" w:rsidRDefault="003F22CE" w:rsidP="003F22CE">
      <w:pPr>
        <w:bidi/>
        <w:spacing w:before="100" w:beforeAutospacing="1" w:after="100" w:afterAutospacing="1" w:line="240" w:lineRule="auto"/>
        <w:rPr>
          <w:rFonts w:ascii="Arabic Transparent" w:eastAsia="Times New Roman" w:hAnsi="Arabic Transparent" w:cs="Arabic Transparent"/>
          <w:b/>
          <w:bCs/>
          <w:sz w:val="24"/>
          <w:szCs w:val="24"/>
          <w:rtl/>
        </w:rPr>
      </w:pPr>
      <w:r w:rsidRPr="003F22CE">
        <w:rPr>
          <w:rFonts w:ascii="Arabic Transparent" w:eastAsia="Times New Roman" w:hAnsi="Arabic Transparent" w:cs="Arabic Transparent"/>
          <w:b/>
          <w:bCs/>
          <w:sz w:val="24"/>
          <w:szCs w:val="24"/>
          <w:rtl/>
        </w:rPr>
        <w:t>سنهورى در اين باره مى‏گويد در تدوين قانون مدنى جديد علاوه بر احكام اسلامى قانون قديم و تهذيب آن، مواد جديدى نيز از فقه اسلامى در موارد بيع مريض به مرض موت، اهليت، شفعه، هبه، تقديم دين بر تقسيم تركه، خيار رؤيت، مدت مرور زمان، حواله و اصل حوادث غير مترقبه (</w:t>
      </w:r>
      <w:proofErr w:type="spellStart"/>
      <w:r w:rsidRPr="003F22CE">
        <w:rPr>
          <w:rFonts w:ascii="Arabic Transparent" w:eastAsia="Times New Roman" w:hAnsi="Arabic Transparent" w:cs="Arabic Transparent"/>
          <w:b/>
          <w:bCs/>
          <w:sz w:val="24"/>
          <w:szCs w:val="24"/>
        </w:rPr>
        <w:t>imprevision</w:t>
      </w:r>
      <w:proofErr w:type="spellEnd"/>
      <w:r w:rsidRPr="003F22CE">
        <w:rPr>
          <w:rFonts w:ascii="Arabic Transparent" w:eastAsia="Times New Roman" w:hAnsi="Arabic Transparent" w:cs="Arabic Transparent"/>
          <w:b/>
          <w:bCs/>
          <w:sz w:val="24"/>
          <w:szCs w:val="24"/>
          <w:rtl/>
        </w:rPr>
        <w:t>)نيز اقتباس گرديد.</w:t>
      </w:r>
    </w:p>
    <w:p w:rsidR="003F22CE" w:rsidRPr="003F22CE" w:rsidRDefault="003F22CE" w:rsidP="003F22CE">
      <w:pPr>
        <w:bidi/>
        <w:spacing w:before="100" w:beforeAutospacing="1" w:after="100" w:afterAutospacing="1" w:line="240" w:lineRule="auto"/>
        <w:rPr>
          <w:rFonts w:ascii="Arabic Transparent" w:eastAsia="Times New Roman" w:hAnsi="Arabic Transparent" w:cs="Arabic Transparent"/>
          <w:b/>
          <w:bCs/>
          <w:sz w:val="24"/>
          <w:szCs w:val="24"/>
          <w:rtl/>
        </w:rPr>
      </w:pPr>
      <w:r w:rsidRPr="003F22CE">
        <w:rPr>
          <w:rFonts w:ascii="Arabic Transparent" w:eastAsia="Times New Roman" w:hAnsi="Arabic Transparent" w:cs="Arabic Transparent"/>
          <w:b/>
          <w:bCs/>
          <w:sz w:val="24"/>
          <w:szCs w:val="24"/>
          <w:rtl/>
        </w:rPr>
        <w:t>ماده يك قانون مدنى مصر مقرر مى‏دارد:</w:t>
      </w:r>
    </w:p>
    <w:p w:rsidR="003F22CE" w:rsidRPr="003F22CE" w:rsidRDefault="003F22CE" w:rsidP="003F22CE">
      <w:pPr>
        <w:bidi/>
        <w:spacing w:before="100" w:beforeAutospacing="1" w:after="100" w:afterAutospacing="1" w:line="240" w:lineRule="auto"/>
        <w:rPr>
          <w:rFonts w:ascii="Arabic Transparent" w:eastAsia="Times New Roman" w:hAnsi="Arabic Transparent" w:cs="Arabic Transparent"/>
          <w:b/>
          <w:bCs/>
          <w:sz w:val="24"/>
          <w:szCs w:val="24"/>
          <w:rtl/>
        </w:rPr>
      </w:pPr>
      <w:r w:rsidRPr="003F22CE">
        <w:rPr>
          <w:rFonts w:ascii="Arabic Transparent" w:eastAsia="Times New Roman" w:hAnsi="Arabic Transparent" w:cs="Arabic Transparent"/>
          <w:b/>
          <w:bCs/>
          <w:sz w:val="24"/>
          <w:szCs w:val="24"/>
          <w:rtl/>
        </w:rPr>
        <w:t>در صورت فقدان نص قانونى، قاضى بر اساس عرف و در صورت فقدان عرف، قاضى بر طبق اصول اسلامى و در صورت فقدان آن بر طبق مقتضاى حقوق طبيعى و قواعد عدالت حكم مى‏كند.</w:t>
      </w:r>
    </w:p>
    <w:p w:rsidR="003F22CE" w:rsidRPr="003F22CE" w:rsidRDefault="003F22CE" w:rsidP="003F22CE">
      <w:pPr>
        <w:bidi/>
        <w:spacing w:before="100" w:beforeAutospacing="1" w:after="100" w:afterAutospacing="1" w:line="240" w:lineRule="auto"/>
        <w:rPr>
          <w:rFonts w:ascii="Arabic Transparent" w:eastAsia="Times New Roman" w:hAnsi="Arabic Transparent" w:cs="Arabic Transparent"/>
          <w:b/>
          <w:bCs/>
          <w:sz w:val="24"/>
          <w:szCs w:val="24"/>
          <w:rtl/>
        </w:rPr>
      </w:pPr>
      <w:r w:rsidRPr="003F22CE">
        <w:rPr>
          <w:rFonts w:ascii="Arabic Transparent" w:eastAsia="Times New Roman" w:hAnsi="Arabic Transparent" w:cs="Arabic Transparent"/>
          <w:b/>
          <w:bCs/>
          <w:sz w:val="24"/>
          <w:szCs w:val="24"/>
          <w:rtl/>
        </w:rPr>
        <w:t>شايان ذكر است كه تفسير نصوص قانون مذكور، هيچ گونه تقيدى نسبت به مذهب خاص ندارد و علاوه بر مذاهب اربعه حنفى، حنبلى، شافعى و مالكى مى‏توان به فقه مذاهب زيديه و اماميه رجوع كرد.10</w:t>
      </w:r>
    </w:p>
    <w:p w:rsidR="003F22CE" w:rsidRPr="003F22CE" w:rsidRDefault="003F22CE" w:rsidP="003F22CE">
      <w:pPr>
        <w:bidi/>
        <w:spacing w:before="100" w:beforeAutospacing="1" w:after="100" w:afterAutospacing="1" w:line="240" w:lineRule="auto"/>
        <w:rPr>
          <w:rFonts w:ascii="Arabic Transparent" w:eastAsia="Times New Roman" w:hAnsi="Arabic Transparent" w:cs="Arabic Transparent"/>
          <w:b/>
          <w:bCs/>
          <w:sz w:val="24"/>
          <w:szCs w:val="24"/>
          <w:rtl/>
        </w:rPr>
      </w:pPr>
      <w:r w:rsidRPr="003F22CE">
        <w:rPr>
          <w:rFonts w:ascii="Arabic Transparent" w:eastAsia="Times New Roman" w:hAnsi="Arabic Transparent" w:cs="Arabic Transparent"/>
          <w:b/>
          <w:bCs/>
          <w:sz w:val="24"/>
          <w:szCs w:val="24"/>
          <w:rtl/>
        </w:rPr>
        <w:t>سنهورى مى‏گويد:</w:t>
      </w:r>
    </w:p>
    <w:p w:rsidR="003F22CE" w:rsidRPr="003F22CE" w:rsidRDefault="003F22CE" w:rsidP="003F22CE">
      <w:pPr>
        <w:bidi/>
        <w:spacing w:before="100" w:beforeAutospacing="1" w:after="100" w:afterAutospacing="1" w:line="240" w:lineRule="auto"/>
        <w:rPr>
          <w:rFonts w:ascii="Arabic Transparent" w:eastAsia="Times New Roman" w:hAnsi="Arabic Transparent" w:cs="Arabic Transparent"/>
          <w:b/>
          <w:bCs/>
          <w:sz w:val="24"/>
          <w:szCs w:val="24"/>
          <w:rtl/>
        </w:rPr>
      </w:pPr>
      <w:r w:rsidRPr="003F22CE">
        <w:rPr>
          <w:rFonts w:ascii="Arabic Transparent" w:eastAsia="Times New Roman" w:hAnsi="Arabic Transparent" w:cs="Arabic Transparent"/>
          <w:b/>
          <w:bCs/>
          <w:sz w:val="24"/>
          <w:szCs w:val="24"/>
          <w:rtl/>
        </w:rPr>
        <w:t>انتساب احكام جديد به اسلام، خدمت به آن محسوب نمى‏گردد؛ بلكه تنها مطالعه علمى و صحيح و حفظ امانت علمى خدمت به اسلام است. عدم مطابقت احكام اسلامى با برخى نظريات حقوقى نوين موجب معيوب شدن قوانين اسلامى نمى‏گردد، بلكه مسخ احكام و اصول اسلامى موجب نقصان آن مى‏گردد.</w:t>
      </w:r>
    </w:p>
    <w:p w:rsidR="003F22CE" w:rsidRPr="003F22CE" w:rsidRDefault="003F22CE" w:rsidP="003F22CE">
      <w:pPr>
        <w:bidi/>
        <w:spacing w:before="100" w:beforeAutospacing="1" w:after="100" w:afterAutospacing="1" w:line="240" w:lineRule="auto"/>
        <w:rPr>
          <w:rFonts w:ascii="Arabic Transparent" w:eastAsia="Times New Roman" w:hAnsi="Arabic Transparent" w:cs="Arabic Transparent"/>
          <w:b/>
          <w:bCs/>
          <w:sz w:val="24"/>
          <w:szCs w:val="24"/>
          <w:rtl/>
        </w:rPr>
      </w:pPr>
      <w:r w:rsidRPr="003F22CE">
        <w:rPr>
          <w:rFonts w:ascii="Arabic Transparent" w:eastAsia="Times New Roman" w:hAnsi="Arabic Transparent" w:cs="Arabic Transparent"/>
          <w:b/>
          <w:bCs/>
          <w:sz w:val="24"/>
          <w:szCs w:val="24"/>
          <w:rtl/>
        </w:rPr>
        <w:t>3. منبع قانون مدنى جديد مصر قوانين لاتين مانند فرانسه، ايتاليا، اسپانيا، پرتغال، هلند، تونس، مراكش، لبنان و قوانين ژرمنى، مانند آلمان، سويس، و اتريش و قوانين مركب از هر دو گروه لاتينى و ژرمنى مانند قوانين لهستان، برزيل، چين و ژاپن است.</w:t>
      </w:r>
    </w:p>
    <w:p w:rsidR="003F22CE" w:rsidRPr="003F22CE" w:rsidRDefault="003F22CE" w:rsidP="003F22CE">
      <w:pPr>
        <w:bidi/>
        <w:spacing w:before="100" w:beforeAutospacing="1" w:after="100" w:afterAutospacing="1" w:line="240" w:lineRule="auto"/>
        <w:rPr>
          <w:rFonts w:ascii="Arabic Transparent" w:eastAsia="Times New Roman" w:hAnsi="Arabic Transparent" w:cs="Arabic Transparent"/>
          <w:b/>
          <w:bCs/>
          <w:sz w:val="24"/>
          <w:szCs w:val="24"/>
          <w:rtl/>
        </w:rPr>
      </w:pPr>
      <w:r w:rsidRPr="003F22CE">
        <w:rPr>
          <w:rFonts w:ascii="Arabic Transparent" w:eastAsia="Times New Roman" w:hAnsi="Arabic Transparent" w:cs="Arabic Transparent"/>
          <w:b/>
          <w:bCs/>
          <w:sz w:val="24"/>
          <w:szCs w:val="24"/>
          <w:rtl/>
        </w:rPr>
        <w:t>دكتر سنهورى در تأليف الوسيط به دو نكته عنايت خاص داشته است:</w:t>
      </w:r>
    </w:p>
    <w:p w:rsidR="003F22CE" w:rsidRPr="003F22CE" w:rsidRDefault="003F22CE" w:rsidP="003F22CE">
      <w:pPr>
        <w:bidi/>
        <w:spacing w:before="100" w:beforeAutospacing="1" w:after="100" w:afterAutospacing="1" w:line="240" w:lineRule="auto"/>
        <w:rPr>
          <w:rFonts w:ascii="Arabic Transparent" w:eastAsia="Times New Roman" w:hAnsi="Arabic Transparent" w:cs="Arabic Transparent"/>
          <w:b/>
          <w:bCs/>
          <w:sz w:val="24"/>
          <w:szCs w:val="24"/>
          <w:rtl/>
        </w:rPr>
      </w:pPr>
      <w:r w:rsidRPr="003F22CE">
        <w:rPr>
          <w:rFonts w:ascii="Arabic Transparent" w:eastAsia="Times New Roman" w:hAnsi="Arabic Transparent" w:cs="Arabic Transparent"/>
          <w:b/>
          <w:bCs/>
          <w:sz w:val="24"/>
          <w:szCs w:val="24"/>
          <w:rtl/>
        </w:rPr>
        <w:t>1. قضا و حقوق مصر در دوران قانون مدنى قديم، نقل از دو كتاب ديگرش به نام نظريه العقد و النظرية العامة للالتزامات و اعمال و طرحهاى مقدماتى در تهيه قانون مدنى جديد؛</w:t>
      </w:r>
    </w:p>
    <w:p w:rsidR="003F22CE" w:rsidRPr="003F22CE" w:rsidRDefault="003F22CE" w:rsidP="003F22CE">
      <w:pPr>
        <w:bidi/>
        <w:spacing w:before="100" w:beforeAutospacing="1" w:after="100" w:afterAutospacing="1" w:line="240" w:lineRule="auto"/>
        <w:rPr>
          <w:rFonts w:ascii="Arabic Transparent" w:eastAsia="Times New Roman" w:hAnsi="Arabic Transparent" w:cs="Arabic Transparent"/>
          <w:b/>
          <w:bCs/>
          <w:sz w:val="24"/>
          <w:szCs w:val="24"/>
          <w:rtl/>
        </w:rPr>
      </w:pPr>
      <w:r w:rsidRPr="003F22CE">
        <w:rPr>
          <w:rFonts w:ascii="Arabic Transparent" w:eastAsia="Times New Roman" w:hAnsi="Arabic Transparent" w:cs="Arabic Transparent"/>
          <w:b/>
          <w:bCs/>
          <w:sz w:val="24"/>
          <w:szCs w:val="24"/>
          <w:rtl/>
        </w:rPr>
        <w:t>2. حقوق و قضاى فرانسه در بيان تحول تاريخ قوانين و تكميل رويه قضايى مصر.</w:t>
      </w:r>
    </w:p>
    <w:p w:rsidR="003F22CE" w:rsidRPr="003F22CE" w:rsidRDefault="003F22CE" w:rsidP="003F22CE">
      <w:pPr>
        <w:bidi/>
        <w:spacing w:before="100" w:beforeAutospacing="1" w:after="100" w:afterAutospacing="1" w:line="240" w:lineRule="auto"/>
        <w:rPr>
          <w:rFonts w:ascii="Arabic Transparent" w:eastAsia="Times New Roman" w:hAnsi="Arabic Transparent" w:cs="Arabic Transparent"/>
          <w:b/>
          <w:bCs/>
          <w:sz w:val="24"/>
          <w:szCs w:val="24"/>
          <w:rtl/>
        </w:rPr>
      </w:pPr>
      <w:r w:rsidRPr="003F22CE">
        <w:rPr>
          <w:rFonts w:ascii="Arabic Transparent" w:eastAsia="Times New Roman" w:hAnsi="Arabic Transparent" w:cs="Arabic Transparent"/>
          <w:b/>
          <w:bCs/>
          <w:sz w:val="24"/>
          <w:szCs w:val="24"/>
          <w:rtl/>
        </w:rPr>
        <w:t>وى كتاب الوسيط را گامى در استقلال حقوق مصر و رهايى از سلطه حقوق فرانسه مى‏داند؛ زيرا در مقدمه كتاب نظريه العقد مى‏گويد: برماست كه حقوق را مصرى كنيم... امروز حقوق ما به وسيله فرانسه اشغال شده است... و پيرو حقوق فرانسه قرار گرفته است و زمانى كه توانستيم حقوق مستقلى داشته باشيم بايد گامى پيش‏تر بگذاريم و حقوق خود را در تطبيق با حقوق سايرين در صحنه جهانى وارد كنيم. در مقدمه الوسيط اضافه مى‏كند: با تصويب قانون مدنى جديد مصر كيان مستقل حقوقى يافته‏ايم و زمان آن رسيده است كه قانون مستقلى داشته باشيم و قانون و قضاى مصر امروز هيچ عذرى در ترك كوشش در اين راه را ندارد.</w:t>
      </w:r>
    </w:p>
    <w:p w:rsidR="003F22CE" w:rsidRPr="003F22CE" w:rsidRDefault="003F22CE" w:rsidP="003F22CE">
      <w:pPr>
        <w:bidi/>
        <w:spacing w:before="100" w:beforeAutospacing="1" w:after="100" w:afterAutospacing="1" w:line="240" w:lineRule="auto"/>
        <w:rPr>
          <w:rFonts w:ascii="Arabic Transparent" w:eastAsia="Times New Roman" w:hAnsi="Arabic Transparent" w:cs="Arabic Transparent"/>
          <w:b/>
          <w:bCs/>
          <w:sz w:val="24"/>
          <w:szCs w:val="24"/>
          <w:rtl/>
        </w:rPr>
      </w:pPr>
      <w:r w:rsidRPr="003F22CE">
        <w:rPr>
          <w:rFonts w:ascii="Arabic Transparent" w:eastAsia="Times New Roman" w:hAnsi="Arabic Transparent" w:cs="Arabic Transparent"/>
          <w:b/>
          <w:bCs/>
          <w:sz w:val="24"/>
          <w:szCs w:val="24"/>
          <w:rtl/>
        </w:rPr>
        <w:t xml:space="preserve">الوسيط علاوه بر اينكه شرح قانون مدنى مصر است، در عين حال شرح قانون جديد سوريه و عراق نيز محسوب مى‏گردد؛ زيرا قانون سوريه تنها اندك تفاوتى با قانون مصر دارد و قانون عراق تركيبى از فقه اسلامى و قانون مصر </w:t>
      </w:r>
      <w:r w:rsidRPr="003F22CE">
        <w:rPr>
          <w:rFonts w:ascii="Arabic Transparent" w:eastAsia="Times New Roman" w:hAnsi="Arabic Transparent" w:cs="Arabic Transparent"/>
          <w:b/>
          <w:bCs/>
          <w:sz w:val="24"/>
          <w:szCs w:val="24"/>
          <w:rtl/>
        </w:rPr>
        <w:lastRenderedPageBreak/>
        <w:t>است؛ لذا در نهايت دكتر سنهورى از حقوق دانان سوريه و عراق دعوت مى‏كند كه قانون مدنى عربى را بر اساس فقه اسلامى براى كليه سرزمينهاى عربى پايه گذارى كنيم.</w:t>
      </w:r>
    </w:p>
    <w:p w:rsidR="003F22CE" w:rsidRPr="003F22CE" w:rsidRDefault="003F22CE" w:rsidP="003F22CE">
      <w:pPr>
        <w:bidi/>
        <w:spacing w:before="100" w:beforeAutospacing="1" w:after="100" w:afterAutospacing="1" w:line="240" w:lineRule="auto"/>
        <w:rPr>
          <w:rFonts w:ascii="Arabic Transparent" w:eastAsia="Times New Roman" w:hAnsi="Arabic Transparent" w:cs="Arabic Transparent"/>
          <w:b/>
          <w:bCs/>
          <w:sz w:val="24"/>
          <w:szCs w:val="24"/>
          <w:rtl/>
        </w:rPr>
      </w:pPr>
      <w:r w:rsidRPr="003F22CE">
        <w:rPr>
          <w:rFonts w:ascii="Arabic Transparent" w:eastAsia="Times New Roman" w:hAnsi="Arabic Transparent" w:cs="Arabic Transparent"/>
          <w:b/>
          <w:bCs/>
          <w:sz w:val="24"/>
          <w:szCs w:val="24"/>
          <w:rtl/>
        </w:rPr>
        <w:t>الوسيط در دوازده جلد از سوى دار احياء التراث العربى بيروت به چاپ رسيده است و جلد پنجم آن تحت عنوان العقود التى تقع على الملكيته به عقودى از جمله عقد شركت در يك مقدمه و سه فصل پرداخته است كه بحثى از آن در كتاب فصل دوم فقه الشركة مطرح و مورد نقد قرار گرفته است.</w:t>
      </w:r>
    </w:p>
    <w:p w:rsidR="003F22CE" w:rsidRPr="003F22CE" w:rsidRDefault="003F22CE" w:rsidP="003F22CE">
      <w:pPr>
        <w:bidi/>
        <w:spacing w:before="100" w:beforeAutospacing="1" w:after="100" w:afterAutospacing="1" w:line="240" w:lineRule="auto"/>
        <w:rPr>
          <w:rFonts w:ascii="Arabic Transparent" w:eastAsia="Times New Roman" w:hAnsi="Arabic Transparent" w:cs="Arabic Transparent"/>
          <w:b/>
          <w:bCs/>
          <w:sz w:val="24"/>
          <w:szCs w:val="24"/>
          <w:rtl/>
        </w:rPr>
      </w:pPr>
      <w:r w:rsidRPr="003F22CE">
        <w:rPr>
          <w:rFonts w:ascii="Arabic Transparent" w:eastAsia="Times New Roman" w:hAnsi="Arabic Transparent" w:cs="Arabic Transparent"/>
          <w:b/>
          <w:bCs/>
          <w:sz w:val="24"/>
          <w:szCs w:val="24"/>
          <w:rtl/>
        </w:rPr>
        <w:t xml:space="preserve">شرح و نقد تفصيلى كتاب الوسيط و تأثير آن بر نوشته‏هاى حقوق دانان ايرانى را به مجالى ديگر وا مى‏گذاريم. </w:t>
      </w:r>
    </w:p>
    <w:p w:rsidR="003F22CE" w:rsidRPr="003F22CE" w:rsidRDefault="003F22CE" w:rsidP="003F22CE">
      <w:pPr>
        <w:bidi/>
        <w:spacing w:before="100" w:beforeAutospacing="1" w:after="100" w:afterAutospacing="1" w:line="240" w:lineRule="auto"/>
        <w:rPr>
          <w:rFonts w:ascii="Arabic Transparent" w:eastAsia="Times New Roman" w:hAnsi="Arabic Transparent" w:cs="Arabic Transparent"/>
          <w:b/>
          <w:bCs/>
          <w:sz w:val="24"/>
          <w:szCs w:val="24"/>
          <w:rtl/>
        </w:rPr>
      </w:pPr>
      <w:r w:rsidRPr="003F22CE">
        <w:rPr>
          <w:rFonts w:ascii="Arabic Transparent" w:eastAsia="Times New Roman" w:hAnsi="Arabic Transparent" w:cs="Arabic Transparent"/>
          <w:b/>
          <w:bCs/>
          <w:sz w:val="24"/>
          <w:szCs w:val="24"/>
          <w:rtl/>
        </w:rPr>
        <w:t>و السلام</w:t>
      </w:r>
    </w:p>
    <w:p w:rsidR="003F22CE" w:rsidRPr="003F22CE" w:rsidRDefault="003F22CE" w:rsidP="003F22CE">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3F22CE">
        <w:rPr>
          <w:rFonts w:ascii="Arabic Transparent" w:eastAsia="Times New Roman" w:hAnsi="Arabic Transparent" w:cs="Arabic Transparent"/>
          <w:b/>
          <w:bCs/>
          <w:sz w:val="24"/>
          <w:szCs w:val="24"/>
          <w:rtl/>
        </w:rPr>
        <w:t>پانوشت‏ها:</w:t>
      </w:r>
    </w:p>
    <w:p w:rsidR="003F22CE" w:rsidRPr="003F22CE" w:rsidRDefault="003F22CE" w:rsidP="003F22CE">
      <w:pPr>
        <w:bidi/>
        <w:spacing w:before="100" w:beforeAutospacing="1" w:after="100" w:afterAutospacing="1" w:line="240" w:lineRule="auto"/>
        <w:rPr>
          <w:rFonts w:ascii="Arabic Transparent" w:eastAsia="Times New Roman" w:hAnsi="Arabic Transparent" w:cs="Arabic Transparent"/>
          <w:b/>
          <w:bCs/>
          <w:sz w:val="24"/>
          <w:szCs w:val="24"/>
          <w:rtl/>
        </w:rPr>
      </w:pPr>
      <w:r w:rsidRPr="003F22CE">
        <w:rPr>
          <w:rFonts w:ascii="Arabic Transparent" w:eastAsia="Times New Roman" w:hAnsi="Arabic Transparent" w:cs="Arabic Transparent"/>
          <w:b/>
          <w:bCs/>
          <w:sz w:val="24"/>
          <w:szCs w:val="24"/>
          <w:rtl/>
        </w:rPr>
        <w:t>1ـ اين همان مفهمومى است كه شهيد صدر آن را از واجبات امروز عالم دينى در قبال نسل نو مى‏نامد. و شعور متين مسؤوليت را عامل تنجزّ چنين مسؤوليتى و در صحنه علمى روز بودن و تلاش وقفه ناپذير را تنها راه تحقيق اين آمال بر مى‏شمارد ـ ر. ك اجازه نامه شهيد صدر در ترجمه فلسفتنا ـ فلسفه ما ترجمه سيد محمد حسن مرعشى.</w:t>
      </w:r>
    </w:p>
    <w:p w:rsidR="003F22CE" w:rsidRPr="003F22CE" w:rsidRDefault="003F22CE" w:rsidP="003F22CE">
      <w:pPr>
        <w:bidi/>
        <w:spacing w:before="100" w:beforeAutospacing="1" w:after="100" w:afterAutospacing="1" w:line="240" w:lineRule="auto"/>
        <w:rPr>
          <w:rFonts w:ascii="Arabic Transparent" w:eastAsia="Times New Roman" w:hAnsi="Arabic Transparent" w:cs="Arabic Transparent"/>
          <w:b/>
          <w:bCs/>
          <w:sz w:val="24"/>
          <w:szCs w:val="24"/>
          <w:rtl/>
        </w:rPr>
      </w:pPr>
      <w:r w:rsidRPr="003F22CE">
        <w:rPr>
          <w:rFonts w:ascii="Arabic Transparent" w:eastAsia="Times New Roman" w:hAnsi="Arabic Transparent" w:cs="Arabic Transparent"/>
          <w:b/>
          <w:bCs/>
          <w:sz w:val="24"/>
          <w:szCs w:val="24"/>
          <w:rtl/>
        </w:rPr>
        <w:t>2ـ كتاب فقه الديات نيز به زودى منتشر مى‏شود و مولف محترم در حال تدوين و تدريس فقه القصاص مى‏باشند.</w:t>
      </w:r>
    </w:p>
    <w:p w:rsidR="003F22CE" w:rsidRPr="003F22CE" w:rsidRDefault="003F22CE" w:rsidP="003F22CE">
      <w:pPr>
        <w:bidi/>
        <w:spacing w:before="100" w:beforeAutospacing="1" w:after="100" w:afterAutospacing="1" w:line="240" w:lineRule="auto"/>
        <w:rPr>
          <w:rFonts w:ascii="Arabic Transparent" w:eastAsia="Times New Roman" w:hAnsi="Arabic Transparent" w:cs="Arabic Transparent"/>
          <w:b/>
          <w:bCs/>
          <w:sz w:val="24"/>
          <w:szCs w:val="24"/>
          <w:rtl/>
        </w:rPr>
      </w:pPr>
      <w:r w:rsidRPr="003F22CE">
        <w:rPr>
          <w:rFonts w:ascii="Arabic Transparent" w:eastAsia="Times New Roman" w:hAnsi="Arabic Transparent" w:cs="Arabic Transparent"/>
          <w:b/>
          <w:bCs/>
          <w:sz w:val="24"/>
          <w:szCs w:val="24"/>
          <w:rtl/>
        </w:rPr>
        <w:t>3ـ رجال نجاشى، جامعه مدرسين، 1403 ه ق. ص 231.</w:t>
      </w:r>
    </w:p>
    <w:p w:rsidR="003F22CE" w:rsidRPr="003F22CE" w:rsidRDefault="003F22CE" w:rsidP="003F22CE">
      <w:pPr>
        <w:bidi/>
        <w:spacing w:before="100" w:beforeAutospacing="1" w:after="100" w:afterAutospacing="1" w:line="240" w:lineRule="auto"/>
        <w:rPr>
          <w:rFonts w:ascii="Arabic Transparent" w:eastAsia="Times New Roman" w:hAnsi="Arabic Transparent" w:cs="Arabic Transparent"/>
          <w:b/>
          <w:bCs/>
          <w:sz w:val="24"/>
          <w:szCs w:val="24"/>
          <w:rtl/>
        </w:rPr>
      </w:pPr>
      <w:r w:rsidRPr="003F22CE">
        <w:rPr>
          <w:rFonts w:ascii="Arabic Transparent" w:eastAsia="Times New Roman" w:hAnsi="Arabic Transparent" w:cs="Arabic Transparent"/>
          <w:b/>
          <w:bCs/>
          <w:sz w:val="24"/>
          <w:szCs w:val="24"/>
          <w:rtl/>
        </w:rPr>
        <w:t xml:space="preserve">4ـ ر. ك. مقدمه مبسوط شيخ طوسى </w:t>
      </w:r>
    </w:p>
    <w:p w:rsidR="003F22CE" w:rsidRPr="003F22CE" w:rsidRDefault="003F22CE" w:rsidP="003F22CE">
      <w:pPr>
        <w:bidi/>
        <w:spacing w:before="100" w:beforeAutospacing="1" w:after="100" w:afterAutospacing="1" w:line="240" w:lineRule="auto"/>
        <w:rPr>
          <w:rFonts w:ascii="Arabic Transparent" w:eastAsia="Times New Roman" w:hAnsi="Arabic Transparent" w:cs="Arabic Transparent"/>
          <w:b/>
          <w:bCs/>
          <w:sz w:val="24"/>
          <w:szCs w:val="24"/>
          <w:rtl/>
        </w:rPr>
      </w:pPr>
      <w:r w:rsidRPr="003F22CE">
        <w:rPr>
          <w:rFonts w:ascii="Arabic Transparent" w:eastAsia="Times New Roman" w:hAnsi="Arabic Transparent" w:cs="Arabic Transparent"/>
          <w:b/>
          <w:bCs/>
          <w:sz w:val="24"/>
          <w:szCs w:val="24"/>
          <w:rtl/>
        </w:rPr>
        <w:t>5ـ تحرير المجله؛ شيخ محمد حسين، آل كاشف الغطاء، نجف اشرف: مكتبة اكيدرية، 1359 هق، صص 3، 4.</w:t>
      </w:r>
    </w:p>
    <w:p w:rsidR="003F22CE" w:rsidRPr="003F22CE" w:rsidRDefault="003F22CE" w:rsidP="003F22CE">
      <w:pPr>
        <w:bidi/>
        <w:spacing w:before="100" w:beforeAutospacing="1" w:after="100" w:afterAutospacing="1" w:line="240" w:lineRule="auto"/>
        <w:rPr>
          <w:rFonts w:ascii="Arabic Transparent" w:eastAsia="Times New Roman" w:hAnsi="Arabic Transparent" w:cs="Arabic Transparent"/>
          <w:b/>
          <w:bCs/>
          <w:sz w:val="24"/>
          <w:szCs w:val="24"/>
          <w:rtl/>
        </w:rPr>
      </w:pPr>
      <w:r w:rsidRPr="003F22CE">
        <w:rPr>
          <w:rFonts w:ascii="Arabic Transparent" w:eastAsia="Times New Roman" w:hAnsi="Arabic Transparent" w:cs="Arabic Transparent"/>
          <w:b/>
          <w:bCs/>
          <w:sz w:val="24"/>
          <w:szCs w:val="24"/>
          <w:rtl/>
        </w:rPr>
        <w:t>6ـ الفردوس الأعلى؛ شيخ محمد حسين آل كاشف الغطاء، فيروزآبادى، قم: مقدمه.</w:t>
      </w:r>
    </w:p>
    <w:p w:rsidR="003F22CE" w:rsidRPr="003F22CE" w:rsidRDefault="003F22CE" w:rsidP="003F22CE">
      <w:pPr>
        <w:bidi/>
        <w:spacing w:before="100" w:beforeAutospacing="1" w:after="100" w:afterAutospacing="1" w:line="240" w:lineRule="auto"/>
        <w:rPr>
          <w:rFonts w:ascii="Arabic Transparent" w:eastAsia="Times New Roman" w:hAnsi="Arabic Transparent" w:cs="Arabic Transparent"/>
          <w:b/>
          <w:bCs/>
          <w:sz w:val="24"/>
          <w:szCs w:val="24"/>
          <w:rtl/>
        </w:rPr>
      </w:pPr>
      <w:r w:rsidRPr="003F22CE">
        <w:rPr>
          <w:rFonts w:ascii="Arabic Transparent" w:eastAsia="Times New Roman" w:hAnsi="Arabic Transparent" w:cs="Arabic Transparent"/>
          <w:b/>
          <w:bCs/>
          <w:sz w:val="24"/>
          <w:szCs w:val="24"/>
          <w:rtl/>
        </w:rPr>
        <w:t>7ـ كافى، ج 1، ص 33. بشير دهان مى‏گويد: امام صادق عليه‏السلام فرمودند: هر كس كه از ياران ما كه آگاه به دين نمى‏گردد و تفقه در دين نمى‏يابد هيچ خيرى ندارد، اى بشير! اگر هر كس از آنان به فقه خويش نيازش مرتفع نگردد محتاج مخالفان خواهد شد. هر گاه چنين شود او را ندانسته در گمراهى خويش داخل مى‏كنند.</w:t>
      </w:r>
    </w:p>
    <w:p w:rsidR="003F22CE" w:rsidRPr="003F22CE" w:rsidRDefault="003F22CE" w:rsidP="003F22CE">
      <w:pPr>
        <w:bidi/>
        <w:spacing w:before="100" w:beforeAutospacing="1" w:after="100" w:afterAutospacing="1" w:line="240" w:lineRule="auto"/>
        <w:rPr>
          <w:rFonts w:ascii="Arabic Transparent" w:eastAsia="Times New Roman" w:hAnsi="Arabic Transparent" w:cs="Arabic Transparent"/>
          <w:b/>
          <w:bCs/>
          <w:sz w:val="24"/>
          <w:szCs w:val="24"/>
          <w:rtl/>
        </w:rPr>
      </w:pPr>
      <w:r w:rsidRPr="003F22CE">
        <w:rPr>
          <w:rFonts w:ascii="Arabic Transparent" w:eastAsia="Times New Roman" w:hAnsi="Arabic Transparent" w:cs="Arabic Transparent"/>
          <w:b/>
          <w:bCs/>
          <w:sz w:val="24"/>
          <w:szCs w:val="24"/>
          <w:rtl/>
        </w:rPr>
        <w:t>8ـ ر. ك. اشهر المحاكمات فى التاريخ من واقع سجلات المحاكم؛ على عبدالعال العيساوى، بيروت: دارالجيل، 1411 ه ص 100</w:t>
      </w:r>
    </w:p>
    <w:p w:rsidR="003F22CE" w:rsidRPr="003F22CE" w:rsidRDefault="003F22CE" w:rsidP="003F22CE">
      <w:pPr>
        <w:bidi/>
        <w:spacing w:before="100" w:beforeAutospacing="1" w:after="100" w:afterAutospacing="1" w:line="240" w:lineRule="auto"/>
        <w:rPr>
          <w:rFonts w:ascii="Arabic Transparent" w:eastAsia="Times New Roman" w:hAnsi="Arabic Transparent" w:cs="Arabic Transparent"/>
          <w:b/>
          <w:bCs/>
          <w:sz w:val="24"/>
          <w:szCs w:val="24"/>
          <w:rtl/>
        </w:rPr>
      </w:pPr>
      <w:r w:rsidRPr="003F22CE">
        <w:rPr>
          <w:rFonts w:ascii="Arabic Transparent" w:eastAsia="Times New Roman" w:hAnsi="Arabic Transparent" w:cs="Arabic Transparent"/>
          <w:b/>
          <w:bCs/>
          <w:sz w:val="24"/>
          <w:szCs w:val="24"/>
          <w:rtl/>
        </w:rPr>
        <w:t>9ـ ر. ك. الاعلام. زركلى ج 3، ص 350 للملاعين، بيروت 1989 م، چاپ هشتم و المستدرك على معجم المؤلفين، عمر رضا كحالّة، بيروت موسسة الرسالة 1985 چاپ اول، ص 370.</w:t>
      </w:r>
    </w:p>
    <w:p w:rsidR="003F22CE" w:rsidRPr="003F22CE" w:rsidRDefault="003F22CE" w:rsidP="003F22CE">
      <w:pPr>
        <w:bidi/>
        <w:spacing w:before="100" w:beforeAutospacing="1" w:after="100" w:afterAutospacing="1" w:line="240" w:lineRule="auto"/>
        <w:rPr>
          <w:rFonts w:ascii="Arabic Transparent" w:eastAsia="Times New Roman" w:hAnsi="Arabic Transparent" w:cs="Arabic Transparent"/>
          <w:b/>
          <w:bCs/>
          <w:sz w:val="24"/>
          <w:szCs w:val="24"/>
          <w:rtl/>
        </w:rPr>
      </w:pPr>
      <w:r w:rsidRPr="003F22CE">
        <w:rPr>
          <w:rFonts w:ascii="Arabic Transparent" w:eastAsia="Times New Roman" w:hAnsi="Arabic Transparent" w:cs="Arabic Transparent"/>
          <w:b/>
          <w:bCs/>
          <w:sz w:val="24"/>
          <w:szCs w:val="24"/>
          <w:rtl/>
        </w:rPr>
        <w:t>10ـ ر. ك. الوسيط، ج 1، ص 49.</w:t>
      </w:r>
    </w:p>
    <w:p w:rsidR="001671DF" w:rsidRDefault="001671DF"/>
    <w:sectPr w:rsidR="001671DF" w:rsidSect="001671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20"/>
  <w:characterSpacingControl w:val="doNotCompress"/>
  <w:compat/>
  <w:rsids>
    <w:rsidRoot w:val="003F22CE"/>
    <w:rsid w:val="001671DF"/>
    <w:rsid w:val="003F22C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1DF"/>
  </w:style>
  <w:style w:type="paragraph" w:styleId="Heading2">
    <w:name w:val="heading 2"/>
    <w:basedOn w:val="Normal"/>
    <w:link w:val="Heading2Char"/>
    <w:uiPriority w:val="9"/>
    <w:qFormat/>
    <w:rsid w:val="003F22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F22C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F22C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22C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F22C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F22CE"/>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3F22CE"/>
    <w:rPr>
      <w:b/>
      <w:bCs/>
      <w:strike w:val="0"/>
      <w:dstrike w:val="0"/>
      <w:color w:val="0000FF"/>
      <w:sz w:val="22"/>
      <w:szCs w:val="22"/>
      <w:u w:val="none"/>
      <w:effect w:val="none"/>
    </w:rPr>
  </w:style>
  <w:style w:type="paragraph" w:styleId="NormalWeb">
    <w:name w:val="Normal (Web)"/>
    <w:basedOn w:val="Normal"/>
    <w:uiPriority w:val="99"/>
    <w:semiHidden/>
    <w:unhideWhenUsed/>
    <w:rsid w:val="003F22CE"/>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3F2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2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5719392">
      <w:bodyDiv w:val="1"/>
      <w:marLeft w:val="0"/>
      <w:marRight w:val="0"/>
      <w:marTop w:val="0"/>
      <w:marBottom w:val="0"/>
      <w:divBdr>
        <w:top w:val="none" w:sz="0" w:space="0" w:color="auto"/>
        <w:left w:val="none" w:sz="0" w:space="0" w:color="auto"/>
        <w:bottom w:val="none" w:sz="0" w:space="0" w:color="auto"/>
        <w:right w:val="none" w:sz="0" w:space="0" w:color="auto"/>
      </w:divBdr>
      <w:divsChild>
        <w:div w:id="1044256223">
          <w:marLeft w:val="0"/>
          <w:marRight w:val="0"/>
          <w:marTop w:val="0"/>
          <w:marBottom w:val="0"/>
          <w:divBdr>
            <w:top w:val="none" w:sz="0" w:space="0" w:color="auto"/>
            <w:left w:val="none" w:sz="0" w:space="0" w:color="auto"/>
            <w:bottom w:val="none" w:sz="0" w:space="0" w:color="auto"/>
            <w:right w:val="none" w:sz="0" w:space="0" w:color="auto"/>
          </w:divBdr>
        </w:div>
        <w:div w:id="408386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2628</Words>
  <Characters>14985</Characters>
  <Application>Microsoft Office Word</Application>
  <DocSecurity>0</DocSecurity>
  <Lines>124</Lines>
  <Paragraphs>35</Paragraphs>
  <ScaleCrop>false</ScaleCrop>
  <Company>MRT www.Win2Farsi.com</Company>
  <LinksUpToDate>false</LinksUpToDate>
  <CharactersWithSpaces>17578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user5</cp:lastModifiedBy>
  <cp:revision>1</cp:revision>
  <dcterms:created xsi:type="dcterms:W3CDTF">2002-08-12T19:20:00Z</dcterms:created>
  <dcterms:modified xsi:type="dcterms:W3CDTF">2002-08-12T19:22:00Z</dcterms:modified>
</cp:coreProperties>
</file>