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نام مقاله: 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¬شناختي علم¬سنجي 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www.isc.gov.ir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نمايه مي شود) 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شماره نشريه:  53 _ شماره اول، جلد 14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پديدآور:  دكتر غلامرضا حيدري </w:t>
      </w:r>
    </w:p>
    <w:p w:rsid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مترجم:  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چكيده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­شناختي، امور مفروضي هستند كه به صورتي كم و بيش آگاهانه يا ناآگاهانه و اعم از اين‌كه پژوهشگران و استفاده­كنندگان از نتايج پژوهشها، نسبت به آنها آگاه باشند يا نباشند، در وراي فعاليتهاي نظري و عملي حضور دارند و حتي بديهي فرض مي­شوند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ريش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بسي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اري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اختلاف نظرها،‌ انتقادها و مسائلي كه امروزه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استفاده از روشها، شاخصها و فنون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ارزيابي فعاليتهاي علمي وجود دارد و باعث ترديد در مباني و چارچوب نظري و كاربردهاي عملي آن گرديده است، به نبود توافق بر پيش‌فرضهاي بنيادين معرفت­شن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اختي باز م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ي‌گردد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از اين رو، در راستاي ايجاد اجماع هر چه بيشتر در بين پژوهشگران و توجه جامع به ابعاد مختلف ارزيابي فعاليتهاي علمي ـ و نه سنجش ناقص و يك سوي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پژوهش ـ بايد با شناسايي و به پرسش گرفتن پيش‌فرضها، به بررسي مجدد آنها و فراهم نمودن زمينه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­اي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براي تحليل پيش‌فرضهاي بنيادين پرداخت. اين كار به ادراك بهتر وضعيت كنوني در اين حوزه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­انجامد و جايگاه واقعي اين حوزه را روشن­تر خواهد ساخت. از طرفي، استحكام مباني نظري و عملي علم‌سنجي، مستلزم معماري و بازسازي پايه­هاي آن بر اساس پيش‌فرضهايي معتبر است. از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اين رو، تح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ليل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پيش‌فرضهاي معرفت‌شناختي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 مباني مستحكم‌تري براي آن فراهم خواهد كرد، و زمينه­هاي نظريه­پردازي و حتي عملياتي شدن نتايج پژوهشها را تسهيل مي­نمايد. پژوهش حاضر در اين راستا و براي نخستين بار به صورت نسبتاً جامع، به شناسايي، دسته­بندي، تبيي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ن و تا حد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امكان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تحليل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علم­سنجي پرداخته است.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كليدواژه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: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­سنجي،پيش­فرض، فرانظريه، معرفت­شناسي.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مقدمه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[1] عبارت است از آنچه در آغاز هر پژوهش، اقام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برهان يا بحثى، بديهي و پذيرفته شده تلقى مى‌گردد. نگرش به هستى، انسان، دانش و ديگر تمايلات متافيزيكى، از جمله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­فرضهايى هستند كه قبل از ورود به هر پژوهشي، سمت و سوي موضوعات و مسائل مورد پژوهش را تعيين م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ى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دليل استعمال عنوان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بر اين گونه نگرشها و تمايلات را تلقى اثبات­ناپذير بودن آن نگرشها و تمايلات مي­دانند. پيش‌فرض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ها به صورت خودآگاه يا ناخودآگاه، همواره در پس تمامي فعاليتهاي نظري و عملي پنهان هستند و در تاريخ جمعي هر حوز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تخصصي، در لابه‌لاي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نوشتارها،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 ذهن پژوهشگران يا در شرايط اجتماعي‌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­اي كه پژوهشگران در آن به توليد علم و دانش مشغولند، حك شده­اند. پيش­فرض، بيانيه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يا قضيه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است كه به عنوان حقيقت پذيرفته مي­شود. بيانيه­اي كه امكان اثبات عيني آن وجود داشته باشد، پيش­فرض نيست، زيرا نيازي به مف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روض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گرفتن حقيقت آن نخواهد بود.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­فرض با فرضيه[2] متفاوت است. فرضيه به طور موقتي حقيقي تلقي مي­شود تا بتوان اطلاعاتي را در رد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يا قبول آن گردآوري كرد.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را با كمي تسامح مي­توان معادل فرانظريه[3] دانست. به نظر مي­رسد اين كار بارها در متون صورت گرفته 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براي نمونه، «يورلند»[4] (1998) و «ويكري»[5] (1997) فرانظريه و پيش‌فرض را گاهي به يك معني و گاهي هم فرانظريه را اعم از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رض و به جاي تمام پيش‌فرضها يا حتي تحليل پيش‌فرضهاي موجود در علم اطلاعات، به كار برده‌اند. «بيتس»[6] (2005) فرانظريه را به عنوان ف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لسف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نظريه، معادل رويكرد، مفهومي نزديك به پارادايم و به نقل از فرهنگ جامع وبستر، نظريه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دربارۀ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بررسي، تحليل و توصيف خود نظريه، تعريف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­كند (بيتس، 1387).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تمامي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علوم و دانشها يك سلسله قضايا و تصديقهايي در خود دارند كه در اصطلاح، مبادي تصديقي يا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هر علم خوانده مي­شوند. اين مبادي تصديقي به عنوان پيش‌فرضهايي مسلم فرض مي­شوند، قضايا و احكامي كه 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غلب در حل مسائل هر علمِ خاص استفاده مي‌شوند و اگر مفروض نباش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ند،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كار آن علم سامان نخواهد گرفت. اين پيش‌فرضها نه با روشهاي معمول يك علمِ خاص، بلكه در يك بررسي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­شناختي، ارزيابي مي‌شوند. براي مثال، مختار بودن آدمي جزء پيش‌فرضها و مبادي علم اخلاق است كه 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فلسف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اخلاق يا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­شناسي اخلاق، قابل بررسي است. در عل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وم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تجربي نيز معمولاً مبادي تصديقي و پيش‌فرضهايي وجود دارد كه بررسي آنها خارج از قلمرو روشهاي علوم تجربي است. مانند اصل عليّت كه جزء مبادي تصديقي علوم تجربي است؛ بدين معنا كه هر دانشمندي صحت و درستي اين اصل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lastRenderedPageBreak/>
        <w:t xml:space="preserve">را مسلم فرض كرده و با اتكا به آن، به كاوش و پژوهش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زمين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علمي خود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­پردازد. همچنين، دانشمندان علوم تجربي اين قضيه را مسلم گرفته­اند كه «تجربه و روش تجربي واقع نماست» و به همين جهت است كه به تجربه تكيه مي­كنند و آن را ملاك قضاوت خود قرار مي­دهن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د، در حالي كه صحت و سقم و اعتبار اين پيش‌فرضها در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تحليل و داوري مي‌شود (گنجي، 1384، ص 29-30). نگرش اثبات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­گرايانه، خود را تنها رهيافت علمي و معتبر مي­داند و بحث دربارۀ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پيش‌فرضها را نامربوط و غيرعلمي تلقي مي‌كند. بدين سبب، دانشمنداني كه نگرش پوزيتيويستي دارند، دليلي براي ارائه و توجه به پيش‌فرضها نمي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­بين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كار خود را از بنياد درست فرض مي‌كنند. سستي اين نوع طرز تلقي، امروزه روشن شده است (يورلند، 2000)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يكي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مغفول مانده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­ترين ابعاد مطالعاتي حوزۀ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كتابداري و علم اطلاعات، مطالعه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پيش‌فرضهاي بنيادين فلسفي و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است. اين در حالي است كه ادراك عميق حوزۀ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كتابداري و علم اطلاعات، مستلزم مطالع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مفروضات بنيادين فلسفي است (يورلند، 2000). بديهي است،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نيز مانند علم اطلاعات و ديگر علوم، بر اساس يك سري پيش‌فرضها شكل گرفته است. اين پيش‌فرضها هيچ‌گاه به صورت منظم و نسبتاً جامع شناسايي، تدوين و بررسي نشده‌اند، بلكه تنها تعدادي از آنها به صورت پراكنده در متون مربوط به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­سنجي، كتابداري و علم اطلاعات و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مطالعات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علم، ارائه شده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­اند.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نظر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­رسد ريشۀ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بسياري از اختلاف نظرها،‌ انتقادها و مسائلي كه امروزه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استفاده از روشها، شاخصها و فنون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ارزيابي فعاليتهاي علمي وجود دارد و باعث ترديد در مباني و چارچوب نظري و كاربردهاي عملي آن گرديده است، به نبود توافق بر پيش‌فرضهاي بنيا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دين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باز مي­گردد. از اين رو، در راستاي ايجاد اجماع هر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چه بيشتر در بين پژوهشگران و توجه جامع به ابعاد مختلف ارزيابي فعاليتهاي علمي ـ و نه سنجش ناقص و يك سوي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پژوهش- شناسايي و به پرسش گرفتن پيش‌فرضها، بررسي مجدد آنها و فراهم نمودن زمينه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­اي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براي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تحليل پيش‌فرضهاي بنيادين، به ادراك بهتر وضعيت كنوني در اين حوزه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­انجامد و جايگاه واقعي اين حوزه را روشن­تر خواهد ساخت و مباني مستحكم­تري از مفاهيم و ارتباط آنها با يكديگر فراهم خواهد كرد كه روند نظريه‌پردازي و حتي عملياتي شدن نتايج پژوهشها را تسهيل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مي‌نمايد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پژوهش حاضر در اين راستا و براي نخستين بار به صورت نسبتاً جامع، به بررسي اهميت، شناسايي، دسته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­بندي، تبيين و تا حد امكان تحليل پيش‌فرضهاي معرفت­شناختي علم­سنجي، پرداخته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ضرورت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اهميت بررسي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علم­سنجي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«فوكو»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[7] در مصاحبه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در سال 1984، بيان داشت: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«وظيف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روشنفكر اين نيست كه به ديگران بگويد چه بايد بكنند. او به چه حقي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­خواهد اين كار را بكند؟...كار روشنفكر شكل دادن ارادۀ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سياسي ديگران نيست. كار او اين است كه از طريق تحليلهايي كه در رشت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خودش انجام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­دهد، آنچه را بديهي فرض مي­شود،بارها و بارها به پرس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بخواند، عادتهاي فكري مردم و نحو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كاركردن آنان را برهم زند، آنچه را مأنوس و مقبول است، پراكنده كند و قواعد و نهادها را بازسنجي نمايد ...» (تايشمن، وايت، 1379، ص 322).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بزرگ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­ترين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انقلابهاي علمي، در نتيج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تغيير در پيش‌فرضها به وجود آمده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­اند. انقلابهاي عظيمي كه در علوم طبيعي روي داده، نتيجۀ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تغيير در شيو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درك و تبيين پديده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 بوده است. «دمپي­ير»[8] (1386، ص152) ابراز داشته بدون وجود اين پيش‌فرض كه «خدا و عالَم براي انسان قاب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ادراك است»- كه در پس ذهن نمايندگان فلسفي قرون وسطي وجود داشت و به اذهان انديشمندان اروپاي غربي رسوخ يافت- تحولات عصر نوزايي اتفاق نمي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­افتاد. در قرون جديد هم كه تبيين­ها در قالبهاي منظم و مشخص ارائه و جهان به صورت مجموعه­اي از نظامهايي تصور مي­شد كه بر اس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اس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قوانين جبري طبيعت به صورتي مشخص و قابل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­بيني در حركت هستند، معلولها را به صورت خطي، برآيند علل خاص مي­دانستند. اين سبك نگر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ش به جهان، با ظهور نظري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آشوب (نظم در بي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­نظمي) متحول شد. در واقع، نظريۀ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آشوب نشان داد رفتار نظامها ديگر در قالبهاي خطي صِرف، قاب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تبيين نيست.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زماني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كه يك حوزه در برخورد با مسائل خود از نبود يك چارچوب نظري رنج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­برد و نتايج و دستاوردهاي پژوهشي و نتيجة كار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 آن حوزه ضعيف و ناقص به نظر برسد، يا هنگامي كه پيش‌فرضها و فرانظريه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موجود در تضاد با عقايد اكثر افراد باشد و يا تصور شود بايد در جستجوي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نظري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جديد و ثمربخش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­تر بود، لازم است با تبيين و تحليل پيش‌فرضهاي موجود، به فرانظريه­اي جديد روي آورد كه مبناي مست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حكم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­تري براي رسيدن به مفاهيم مناسب، ايجاد ارتباط ميان آن مفاهيم و در نهايت نظريه­پردازي باشد. «ويكري» (1997) در مقاله­اي با عنوان «فرانظريه­ و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علم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اطلاعات» فرانظريه را تحليل پيش‌فرضهاي شاخه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از دانش يا حرفه تعريف كرده است. او به نقل از «نش»[9] بيان مي­دا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رد كه پيش‌فرضها الگوهاي تفكر و كسب تجربه هستند. پيش‌فرضها معمولاً صريح و روشن نبوده و حاصل دريافت عمومي يا تصورات نسبتاً غيرعلمي هستند. در حوز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كتابداري و علم اطلاعات، اين پيش‌فرضها بندرت، به روشني بيان شده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­اند. به باور «ويكري» پيشرفتهاي عمده 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lastRenderedPageBreak/>
        <w:t>در علم هنگامي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رخ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­دهد كه تصور خلاق دانشمند، راه جديدي را براي تفكر در حوزۀ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فعاليت خود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­گشايد. اين كار توسط متخصصان و پژوهشگران مباني نظري هر حوزه و با ب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ررسي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رويكردهاي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و فلسفي گوناگون و جستجوي الگوهاي جديد تفكر، ميسر مي­شود. تبيين و تحليل پيش‌فرضهاي معر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علم­سنجي در اين راستا و به منظور تسهيل فرايند مفهوم­سازي و نظريه‌پردازي، ضروري به نظر مي­رسد.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 نظر و عمل، مستلزم وجود پيش‌فرضهايي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ماهيت علم و دانش و سنجش علم يا بروندادهاي علمي است. چنانچه متخصصان اين حوزه بخواهند كار خود را با هوشمندي و به درستي انجام بدهند، بررسي پيش‌فرضهاي مذكور و درك نگرشهاي متخصصان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دربارۀ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ماهيت علم و دانش (معرفت) و سنجش آن، ضروري است. از اين رو،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جي براي رسيدن به خودآگاهي بايد پيش‌فرضهاي تاريخي خود را دريابد.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­شناسي، چنين دانشي را فراهم مي­نمايد.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اين‌كه در طول چهار 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گذشته زمينه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­ها، چارچوب و روش­شناسي سنجش و اندازه­گيري بروندادهاي علمي (علم­سنجي) رشد قابل توجهي داشته است، بنيادهاي نظري و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آن هنوز مبهم است. از آنجا كه يك نظريۀ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يكپارچه، هماهنگ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­كننده و پذيرفته شدۀ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عام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دان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وجود ندارد، اين سؤال پيش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­آيد كه در نبود اين ناهماهنگي، تا چه حد مي­توان به الگوها، قواعد و شاخصهاي علم­سنجي كه اغلب بر اساس پيش‌فرضهاي منطق خطي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و پارادايمهاي سنتي، منسوخ يا ناقص و ويژگيهاي تفكر صنعتي شكل گرفته است، اعتماد كرد. در حالي كه امروزه با وجو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چند رشته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يا ميان رشته­اي شدن اين حوزه و پيچيدگي روز افزون آن، ديگر منطق خطي گذشته كارساز نيست و پژوهشهاي اخير سعي دارند اطلاعات، علم و دانش را ب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ه رفتارها، فعاليتها و نتايج عملكردي مرتبط كنند و يك درك جامعه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و رفتاري از اين زمينه به دست دهند.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جامعيت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بخشيدن و روزآمدسازي سنجش و ارزيابي فعاليتهاي علمي، يكي از ضرورتهاي تبيين و تحليل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علم­سنجي است؛ بدين معنا كه همانند ساختار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يك اصطلاحنامه كه با ورود مفاهيم و عناصر جديد دچار تحول و دگرگوني شده و ساختار قبلي تغيير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­كند، در طول زمان عناصر و مؤلفه­هاي جديدي به تعداد سنجه­ها و شاخصهاي ارزيابي و سنجش علم افزوده مي­شود. اين در حالي است كه معمولاً دريافت قبلي از اين عناصر، به عنوان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مطالعات مذكور استفاده مي­شود. از اين رو، لازم است همواره براي هماهنگي ميان نظر و عمل در دوره­ها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زماني مختلف،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علم­سنجي، بازنگري و بازسازي شود.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«يورلند»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(1381الف، ص 26) معتقد است در حوز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كتابداري و علم اطلاعات، مقاله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زي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ادي منتشر شده و كارهاي عملي زيادي انجام گرفته است، بدون آن كه مفروضات نظري يا فرانظري تبيين شده باشند. همان‌طور كه يورلند توجه نكردن به شناخت رويكردهاي بنيادين فلسفي به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دانش را دليل عمدۀ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فقر نظري و نبود پيشرفت در كتابداري و علم اطلاعات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­داند، پي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شرفت در حوز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هم مستلزم آزمون دوباره، بازنگري و ارزيابي اعتبار پيش‌فرضها و سنتهاي احتمالاً ناكارآمدي است كه اين حوزه ممكن است بدون بازانديشي و ژرف­نگري دربارۀ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آنها، براس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اس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آن عمل كند؛ چنان كه شاهد شعارهاي زيادي در اين حوزه هستيم و برخي از پژوهشگران اين حوزه، مسائل را با آرمانگرايي و شعار و به صورت سوگرفته، مورد مطالعه و پژوهش قرار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­دهند. در يك ارزيابي انتقادي و واقعي مي­توان اعتبار مفاهيم و نگرشهاي مختلف را سنجيد و مفاه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فرانظريه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معتبري فراهم نمود، سپس با ايجاد ارتباط ميان مفاهيم و پيش‌فرضه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ا، به سوي نظريه و نظريه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­پردازي حركت كرد.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سرانجام،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مسئل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ديگري كه ما را به بررسي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­شناسي علم‌سنجي فرا مي­خواند، پاسخ به اين سؤال است كه آيا به راستي هر آنچه در اين حوزه صورت مي­گيرد، مبناي منطقي و علمي دارد يا بر عادت و اقتباس مبتني است؟ چنا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نچه در جستجوي پاسخ به اين سؤال باشيم، راهي جز امعان نظر در صحت و سقم و ميزان كارآمدي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­شناسي علم­سنجي نيست.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پيش‌فرضهاي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علم­سنجي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يكي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ابعاد مطالعات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علم­سنجي، شناسايي، تدوين، دسته‌بندي و تجزيه و تحليلپيش‌فرضهاي 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­شناختي و حتي جايگزيني پيش‌فرضهاي نامعتبر و منسوخ با پيش‌فرضهاي كارآمد و نوين است. در اين راستا، لازم است سير تكوين و تحول ديدگاه­هاي مرتبط با علم­سنجي از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ابتدا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تاكنون به دقت مورد مداقه قرار گيرد و تصورات موجود در پس ذهن پژوهشگران اين حوزه و گزاره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مرتبط موجود در متون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و حوزه­هاي نزديك به آن مانند كتابداري و علم اطلاعات و مطالعات علم، بازكاوي، شناسايي و استخراج شوند. اين كار باعث استحكام بيشتر بني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انها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پايه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علم­سنجي مي­شود و ظرفيت رشد آن در آينده را نيز بالا مي­برد.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lastRenderedPageBreak/>
        <w:t>بررسي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مباني تاريخي و معرفتي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بيانگر آن است كه پيشينۀ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مفاهيم علم و سنجش، به آغاز تمدن بشري بر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­گردد. اين در حالي است كه بحث مساعدت مالي دانشمندان در دورۀ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سوم علم و دانش در يونان باستان (در اسكندريه) مطرح شد (برنال[10]، 1354، ص 134) كه نقط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عطفي در تاريخ توجه به پاداش مادي و نظام پاداش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­دهي در علم و علم­سنجي است. از اين رو، پيشينۀ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توجه برنامه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­ريزي شده به علم و دانش، به اين دوران تعلق دارد.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هرچند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مباحث كمّي و سنجش و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در علم در دورانهاي گذشته ريشه دارد، «برنال» (1354) «بيكن» و «دكارت» را پيام­آوران عصر جديد مي­د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اند كه غايت علم را قدرت تصرف بشر در عالم و بهبود زندگي او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­دانستند. بيكن به اهميت سرمايه­گذاري دولتي در امر پژوهش اشاره ك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رده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آن را تنها راه پيشرفت علم و پژوهش و توسع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اقتصادي 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­دانسته است. اين ديدگاه هنوز هم در ميان سياستگذاران علم و پژوهش وجود دارد و 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كي از پيش‌فرضهاي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به شمار مي­آيد. «دكارت» هم مفاهيمي را بنيان نهاد كه خود پايۀ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بحث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جهان به شيوه‌اي كاملاً كم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ّي،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عددي و هندسي شد. نتيج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 ديدگاه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 شكل­گيري انجمن علمي سلطنتي انگلستان و فرهنگستان سلطنتي فرانسه در راستاي مديريت و پيشبرد علم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بود. از اين رو، تحول در معناي علم به علم كاربردي و دانشِ قابل عرضه و علم به معناي كسب نتايج اقتصادي و فوايد اجتماعي از قرن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هفدهم،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دلايل و پيش‌فرضهاي توجه به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براي پيشبرد و مديريت علم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آغاز قرن بيستم، رويكرد فلسفي اثبات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­گرايي تقريباً به رو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ند ايجاد تمام رشته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علمي حكمفرما شد. پيدايش و گسترش علم­سنجي هم از اين قاعده مستثنا نبود. رويكرد كمّي «پرايس» به مطالعۀ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بيش از هر چيز ديگر، بيانگر اين پيش‌فرض است كه علم قابل سنجش و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است. يكي از پيش‌فرضهايي كه در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هوش در روانشن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اسي وجود دارد، اين است كه هوش چيزي است كه آزمونهاي هوش اندازه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­گيرند. اين برداشت از هوش در واقع هوش را همان چيزي تعريف مي­كند كه آزمونهاي هوش آن را مي­سنجند. اين پيش­فرض بر رويكرد فيزيكي مبتني است؛ بدين معنا كه روانشناسان عقيده دارند اگر فيزيكدانان بتوان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ند وزن را آنچه مقياسهاي آنها اندازه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­گيرند، تعريف كنند، چرا روانشناسي نتواند هوش را آنچه آزمونهاي هوش اندازه مي­گيرند، تعريف كند (صدوقي، 1387، ص 12-13). در حوزۀ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مطالعات كمّي علم و به طور خاص در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هم، چنين نگرشي وجود دارد كه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­توان علم را اندازه 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رفت و علم چيزي است كه علم‌سنجي اندازه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­گيرد، يا همان طور كه «موئد» (1387، ص 46) اشاره مي­كند، در يك ديدگاه استنادگرا در تحليل استنادي ممكن است گفته شود كيفيت چيزي است كه با تحليل استنادي قابل انداز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از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نيم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دوم قرن بيستم، زميني شدن علم حادث شد كه خود حاصل اين پيش‌فرض جامعه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به علم و دانش بود كه دانش، محصول جامعه است و تعلقات اجتماعي، تعيين­كننده و بخش جدايي­ناپذير هر ارزيابي، نظريه يا دعوي معرفتي است. اين پيش­فرض به شكل­گيري اين ديدگاه منجر شد ك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آنجا كه علم و پژوهش توسط جامعه و براي برآورده كردن نيازهاي جامعه و تحت تأثير آن توليد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­شود، توسط همين جامعه هم قابل سنجش و اندازه­گيري و به طور كلي مديريت است و به اين صورت علم­سنجي در رويكرد جامعه‌شناختي به علم و دانش، شكل واقعي به خود گرفت. از طرف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توجه به ساختار و كاركرد علم در جامعه در پيش‌فرضهاي نظري كاركردگرايي ساختاري، مبناي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مديريت و پيشبرد علم با علم­سنجي و توجه به نظام پاداش در علم­سنجي شد.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از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ديگر پيش‌فرضهاي مطالعات علم و فناوري در روي آوردن به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 در سياستگذاريهاي علوم و فناور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 در كشورهاي گوناگون، اين استدلال بوده است كه از آنجا كه علم و فناوري هر دو ساخت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اجتماع و بشر هستند، دخالت مستقيم و غيرمستقيم دولتها در فعاليتها و فرايندهاي علم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فناورانه، به منظور نيل به هدفهاي اجتماعي، اقتصادي و سياسي بسيار ضروري است و چنانچه علم و فناوري به درستي توسعه يابند و به كار گرفته شوند، از توانايي بالقو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حل معضلات و مشكلات مهم جامعه برخوردار خواهند بود.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ايران هم محور برخي از مطالعات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­پژوهي، شاخصهاي كمّي توسعۀ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علمي است.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­فرض اين گونه مطالعات، پذيرش قابليت اندازه­گيري علم و دانش با استفاده از شاخصهاي كمّي ارائه شده از سوي سازمانهاي بين­المللي بوده است. اين پژوهشها اغلب شاخصهاي كمّي فوق را به عنوان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معياري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براي بررسي وضعيت علم و فناوري در ايران قرار داده و شاخصهاي علمي ايران را با شاخصهاي ديگر كشورها مقايسه كرده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­اند. تعدادي از مهم­ترين اين شاخصها عبارتند از: نسبت دانشجو به استاد در دانشگاه­ها، شاخصهاي توليد و گسترش فناوري، تعداد مقاله‌هاي علمي، شاخصها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انتشار دانش، شاخصهاي ارتباط آموزش و پژوهش، ميزان مشاركت ايرانيان در برون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­دادهاي علمي منتشر شده در سطح جهان و بودجه­هاي پژوهشي و مقايسۀ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آن با ديگر كشورها. اين مطالعات به طور كلي فاقد يك ديدگاه نظري منسجم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رشد علم و دانش، رابط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جامعه، تحليل علم به مثاب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يك نظام اجتماعي و انگيزه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اهل علم هستند. پيش­فرض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تمامي اين مطالعات، قابل مقايسه بودن شاخصهاي كمّي رشد علم در بين كشورهاي مختلف، قابل تعميم بودن شاخصها به تمام رشته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علمي، و ارتباط مستقيم 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lastRenderedPageBreak/>
        <w:t>ميزان سرمايه­گذاري در علم و پژوهش و سطح پيشرفت و توسع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يافتگي علوم است. اين مطالعات بيشتر كمّي، توصيفي و كمتر تحليلي هستند (شارع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­پور، فاضلي، 1386، ص 2-3).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سرانجام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اين‌كه، تحليل استنادي به عنوان عمده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­ترين روش علم­سنجي، مبتني بر اين پيش­فرض شكل گرفته است كه ميان هر متن و سندها يا استنادهاي آن، نوعي رابطۀ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مفهومي وجود دارد (حري، 1388). به عبارت ديگر، دانش به تنهايي و جدا از ديگر دانشها نيست، بلكه هر دانش جديدي،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دانشهاي گذشته مبتني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طور كلي، مهم‌ترين پيش‌فرضهاي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برگرفته از ديدگاه­هاي فوق را، به صورت زير مي‌توان دسته­بندي و ارائه كرد(حيدري، 1388):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علم و دانش يا بروندادهاي علمي، پژوهشي و فناورانه قابل سنجش و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مديريت و پيشبرد علم و دانش، مستلزم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شاخصهاي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براي همۀ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رشته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علمي قابل تعميم است.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شاخصهاي كمّي رشد علم، در كشورهاي مختلف قابل تعميم و مقايسه است.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ميان متن و سند نوعي رابط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محتوايي وجود دارد و متن كم و بيش به همان موضوعي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­پردازد كه سند به آن پرداخته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تحليل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علم­سنجي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اولين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علم­سنجي اين است كه علم و دانش يا بروندادهاي علمي، پژوهشي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فناورانه قابل سنجش و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 علم و دانش با آخرين مرحلۀ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توليد خود يعني انتشار، نمود واقعي و عيني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­يابد. به عبارت ديگر، دانش هنگامي قابل سنجش و اندازه­گيري است كه ثبت و ضبط و در قالب محملهاي اطلاعاتي به جامعه عرضه شود. ديگر اين كه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علم و دانش محصول جامعه است و توسط انسان و در قالب نوشتارها، يا ابزارهاي فناورانه توليد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­شود. در علم­سنجي، تنها مدارك علمي اعتبار دارند و علم­سنجي از انواع مدارك، تنها به مدارك علمي مي­پردازد؛ طوري كه به نظر مي‌رسد دانش صرفاً شامل مدارك مورد بررسي در سنجش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پژوهش (علم‌سنجي) است. يا دانش چيزي جز مدارك و مستندات مورد توجه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­سنجي نيست و از آنجا كه در علم­سنجي اين مدارك بيشتر مقاله‌هاي مجله‌هاست، علم‌سنجي با سنجش مقاله‌ها ميسر مي­شود؛ يعني هر چه تعداد مقاله‌هاي يك پژوهشگر، سازمان يا كشور بيشتر باشد، اين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احتمال وجود دارد كه دانش او بيشتر باشد. د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واقع، اين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­فرض وجود دارد كه برخي از محملهاي اطلاعاتي مانند مقاله‌هاي مجله‌ها، نسبت به ديگر محملها ارزش بيشتري داشته يا علمي­تر به حساب مي­آيند.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اين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­­فرض كه علم و دانش به شمارش مقاله‌هاي علمي و پژوهشي و آي.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اس.آي. و استنادهاي آنها محدود شود، يك رويكرد تحويل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­گرايانه به نظر مي‌رسد. انواع ديگر اسناد را نبايد ناديده گرفت. دانش عمومي به شيوه­هاي گوناگون شكل مي­گيرد و علم­سنجي تنها به برخي از اين شيوه­ها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توجه دارد. در حالي كه مجراهاي انتقال دانش متنوع است و هر يك به معيار سنجش خاصي نياز دارند.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تعدادي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پژوهشگران اين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اساسي علم­سنجي را به پرسش گرفته‌اند. براي مثال، «هولتون»[11] (1978) مي­پرسد كه «آيا مي­توان علم را اندازه گرفت؟» يا «گرانوفسكي»[12] (2001) بيان مي­دارد كه «آيا سنجش علم امكان­پذير است؟» يا در مو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رد تحليل استنادي كه مهمترين رو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است، «موئد»[13] (2005) اين سؤالها را مطرح مي­كند كه «تحليل استنادي چه چيزي را اندازه­ مي‌گيرد؟» يا «استنادها چگونه اندازه مي­گيرند، آنچه را كه بايد اندازه بگيرند؟» يا اين سؤالها كه «در علم­سنجي چه چيزي اندازه­گيري 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ي‌شود؟» آيا اصولاً علم قابل ان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است؟ (حيدري، 1388).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پاسخ به اين سؤال كه آيا علم را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­توان با شاخصهاي كمّي سنجيد، ديدگاه­ها و رويكردهاي معرفت­شناختي مختلفي وجود دارد. پژوهشگراني كه رويكرد پوزيتيويستي داشته­اند، علم را به عنوان يك واقعيت عيني مور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د توجه قرار داده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 كه قابل سنجش و اندازه­گيري است. پوزيتيو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يست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را مانند جهان، چنان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­نگرند كه گويي در بيرون قرار دارد و به صورتي كم و بيش ايستا در معرض پژوهش است. به باور آنها تنها يك روش علمي وجود دارد كه به وسيلة آن مي­توان تمام پديده­ها اعم از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فيزيكي و ... را بررسي نمود و آن را در تمام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علوم به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كار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گرفت. اين در حالي است كه علم و دانش ابعاد مختلفي دارد و براي شناخت بهتر ابعاد مختلف آن، علاوه بر ديدگاه پوزيتيويستي، بايد مؤلفه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علم و دانش را از منظر ديگر رويكردها و ديدگاه­هاي فلسفي، بررس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 كرد. بنابراين، براي شناخت و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­گيري ابعاد و واقعيتهاي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علم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دانش، نمي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­توان صرفاً به پارادايم پوزيتيويستي اكتفا كرد. عوامل ذهني، اجتماعي، انساني و بسياري از ابعاد علم و دانش را نمي­توان با قوانين اثبات­گرايانه، شناسايي و ارزيابي نمود. از اين رو، رويكر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دهاي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تفسيري و انتقادي هم بايد براي شناخت مؤلفه­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هاي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دانش مورد توجه قرار گيرند. به عبارت ديگر، علم و دانش اموري عيني نيستند و ابعاد و زواياي ديگري هم دارند.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lastRenderedPageBreak/>
        <w:t>بنابراين، ابعاد تفسيري گوناگوني پيدا مي‌كنند. از طرفي، رويكرد انتقادي با مطالع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ابعاد ذهني علم و دانش، همخواني و هماهنگي بيشتري دارد. ارزشها و قدرت در ايجاد و تحول در علم و دانش نقش اساسي داشته و دارند. علم و دانش با مفاهيم زياد ديگري تركيب شده‌اند. نظريه‌پردازاني مانند «نيچه»، «فوكو» و «هابرماس» به همبستگي دروني شناخت و منافع يا قدرت و شناخت توجه دارند. آنان همچنين به اين مسئله پرداخته‌اند كه آ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اصولاً شناختي كه بر اثر منافع تحريف نشده باشد، امكان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­پذير است؟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از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 رو، قابليت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دانش، قطعي نيست، بلكه نسبي و احتمالي است؛ اما از آنجا كه به مديريت و پيشبرد علم و دانش ياري مي­رساند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مبنايي براي تصميم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­گيري و عمل فراهم مي­نمايد، ضروري است. به عبارتي، بروندادهاي علمي بيانگر تمام و كمال علم و دانش نيست، اما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وجهي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وجوه علم را بازتاب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­دهند. متون مورد بررسي در علم­سنجي، بخش عمده­اي از دستاوردها و بروندادهاي علمي به شمار مي‌آيند. در مق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ابل، بخش عمده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از ابداعات و فناوريها ممكن است در ارزيابيهاي علم­سنجي ناديده گرفته شوند.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منظور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دانش در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­سنجي، تمام انواع دانش از جمله دانش ذهني و فناوري نيست. حتي كتابداري و علم اطلاعات با دانش مدوّن و مضبوط سر و كار دارد نه هرگونه دانشي. علم­سنجي،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يك قدم فراتر از آن يعني با دانش مدوّن و مضبوط و علمي سر و كار دارد. در تعريفهاي محدود از ع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دانش در قالبهاي فناورانه و فيزيكي ناديده گرفته شده است. البته، اين چيز بدي نيست، اما انتظار ما از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بايد با محدودۀ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فعاليت آن هماهنگ و مطابق باشد.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چنانچه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به اين نكته توجه داشته باشيم كه اصولاً حقيقتي كه ما به دنبال آن هستيم يا بايد به دنبال آن باشيم، نسبي و احتمالي است نه حقيقتي كامل و بدون عيب و نقص يا بدون شك و ترديد، آن وقت به اين نتيجه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­رسيم كه نبايد به خاطر نسبي بودن حقيقت، به جستجوي آن نپرداخ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زيرا به گفته «بورديو»[14] (1386) حقيقت، نسبيت كلي ديدگاه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 و خداوند هندسۀ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تمام چشم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­اندازهاست.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«موئد»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(1387، ص 17) در بحث از اين كه استنادها چه چيز را اندازه مي‌گيرند، به نكته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اشاره مي‌كند كه بيانگر قابليت و درستي سنجش و اندازه­گيري علم به روش علم­سنجي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استفاده از تحليل استنادي در ارزيابي پژوهش بخصوص در علوم پايه است. وي ابراز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­دارد كه نتايج ت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حليل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استنادي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گروه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علوم پايه، همبستگي آماري مثبتي با رتبه­بندي اين گروه­ها توسط اهل فن (داوري خبرگان) نشان مي­دهد.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     مديريت و پيشبرد علم و دانش، مستلزم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اهميت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فناوري در توسع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همه جانبه و پايدار كشورها و بروز تنگناهاي مالي و ناكامي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علمي (بخصوص شوك اسپونتيك[15]) در كشورهاي توسعه يافته در دهۀ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60، سبب شد دانشمندان عوامل رشد علم و فناوري را مورد واكاوي و بازنگري قرار دهند. به اين منظور، دانشمندان تحت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تأثير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رويكردهاي پوزيتيويستي همواره به دنبال ارائ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شاخصهايي استاندارد بوده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 كه بتواند وضعيت پيشرفت علم را مورد سنجش و ارزيابي قرار بدهد، ميزان رشد علم و فناوري را در كشورهاي مختلف با يكديگر قابل مقايسه نمايد و در خدمت رشد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فناوري قرار گيرد. در اين ر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استا،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به عنوان فعاليتي آكادميك مورد توجه قرار گرفت. در واقع، دانشمندان با كمّي كردن و توجه به ابعاد عيني و كتابشناختي علم، سعي داشتند نتايج ملموس و كاربردي علم را تقويت كنند.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امروزه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فناوري از مهم‌ترين عوامل توسعه و زيربناي توسع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پايدار در هر كشوري است. از اين‌رو، شناخت و ارزيابي شرايط موجود علم و فناوري و برنامه‌ريزي براي تغيير و بهبود شرايط، مستلزم وجود معيارها و شاخصهايي است. در طول پنج 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گذشته، شاخصهايي به منظور سنجش علم و فناوري ارائه شده است كه ابعاد مختلف اين ارزيابي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 را شامل مي­شود. يكي از راهكارهاي سنجش علم و فناوري كه با رويكرد كمّي سعي دارد به ارزيابي بروندادهاي انتشاراتي و پيشبرد علم بپردازد، «علم­سنجي» نام دارد.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دنياي كنوني، ميزان قدرت و توانايي كشورها تا انداز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زيادي تابع ميزان پيشرفت آنها در روند توسع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دانش و فناوري است. اين مسئله توجه به پژوهشهاي مرتبط با علم و دانش را جدي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­تر ساخته و سويۀ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كاربردي آنها نيز اهميت بيشتري يافته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سؤال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اصلي اين است كه آيا به كارگيري و استفاده از سنجه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­هايي كه در علم‌سنجي از آنها براي ارزيابي علم و پژوهش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استفاده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­شود، در مجموع باعث ارتقاي عملكرد پژوهش و پيشبرد علم مي­شود؟ اين نكته يكي از مهم‌ترين هدفهاي علم­سنجي و از پيش‌فرضهاي اصلي آن به شمار مي­آي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در اين صورت، بايد از خود پرسيد آيا علم هويت مستقلي دارد و بدون در نظر گرفتن مباني، زمينه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 و عرصه­هاي 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ستفاده از آن، قادر است به راه خود ادامه بدهد يا اين كه يك امر بشري است و بايد در ارتباط با نيازهاي بشر از جمله اخلاق، دين، هنر و ... مورد توجه قرار ب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گيرد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چنانچه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دانش به عنوان يك نظام اجتماعي تصور شود، دانشگاه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­ها، دانشمندان و پژوهشگران، سازمانها و نه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ادهاي دولتي مرتبط با علم و دانش و نهادهاي بين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­المللي، مشوّق پيشبرد علم و دانش، از سازمانهاي اصلي تشكيل­دهندۀ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 نظام به شمار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­آيند. از ديگر اجزاي نظام،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lastRenderedPageBreak/>
        <w:t>قوانين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حاكم بر رفتارهاي فردي و نهادي اين عناصر است. هر تلاشي براي درك ساز و كار پيشرفت علم و دانش و برنامه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­ريزي و تدارك براي اين پيشرفت، نيازمند درك ارتباط ميان عناصر فوق و بخصوص مشخص نمودن سهم هر يك از آنها در جهت دادن به كنشهايي است كه در نهايت سبب مي­شو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تا هر يك از اين عناصر و اعضاي اجتماع علمي، نقشي در پيشرفت دانش ايفا كنند.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بهبود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شرايط علم و پژوهش، قبل از هر چيز مستلزم داشتن اطلاعات و آگاهي كافي از وضعيت گذشته و جاري آن است. اطلاعات عيني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پژوهش، با استفاده از شاخصهاي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­سنجي قابل دستيابي است. اطلاعات قابل دستيابي از طريق علم­سنجي، تصوير نسبتاً روشني از وضعيت علم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پژوهش در اختيار مديران و سياستگذاران علم و پژوهش قرار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­دهد (نوروزي‏چاكلي، حسن‏زاده، نورمحمدي، 1388).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يكي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از پيش‌فرضهاي روي آوردن به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سياستگذاريهاي علوم و فناوري در كشورهاي گوناگون، اين استدلال بوده است كه دخالت مستقيم و غيرمستقيم دولتها در فعاليتها و فرايندهاي علم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 و فناورانه، به منظور نيل به هدفهاي اجتماعي، اقتصادي و سياسي بسيار ضروري است و چن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انچه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و فناوري به درستي توسعه يابند و به كار گرفته شوند، هدفهاي فوق دست يافتني خواهند شد. به عبارت ديگر، ميان ميزان سرمايه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­گذاري در علوم و فناوري و سطح توسعه­يافتگي علوم،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ارتباط مستقيم وجود دارد.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مطالعات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تاريخي رشد و افول علم بيانگر اين نكته است كه حركت علم در جوامع مختلف به عوامل اجتماعي زيادي بستگي دارد. يكي از اين عوامل كه به عنوان پيش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­فرض علم­سنجي قابل بررسي است، عبارت است از اين‌كه: نظام انگيزش و پاداش به مثابۀ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يك سيستم كنترل و تشويق، و تأمين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كنند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رضايت و امنيت اهل علم، عمل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­كند(گلاور و ديگران، 1384، ص 20). به عبارتي «علم را مي­توان با نظام پاداش موجود در علم‌سنجي، پيش برد» (داوري اردكاني، 1386، ص 8)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دانش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محصول جامعه است و جامعه با ايجاد نظام پاداش و تنبيه، نيازها و اولويتهاي علمي و پژوهشي خود را به پژوهشگران و دانشمندان القا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­كند. از آنجا كه دانش محصول جامعه است، علم و پژوهش بايد نيازهاي جامعه را بر آورده كند. به عبارتي «علم جزئي از اجزاي جامعه است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با كاركرد و منشأ اثر بودن آن در جامعه سنجيده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­شود» (داوري اردكا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ني، 1386، ص 8). بنابراين،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راهكاري براي كنترل و مديريت عوامل تعيين كننده در رشد علم، از جمله شبكۀ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ارتباطهاي علمي و عوامل اقتصادي است (گلاور و ديگران، 1384، ص 20).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«موئد»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(2005) در كتاب ارزشمند «تحليل استنادي در ارزيابي پژوهش» با تأكيد بر اهميت حياتي پژوهش در پيشبرد اقتصاد جهاني و رفاه اجتماعي، معتقد است تحكيم پايه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سياسي و اجتماعي علم و پژوهش، تنها در صورت وجود يك نظام دروني كنترل كيفيت و ارتقاي عملكرد، ميسر خواه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شد. يكي از معتبرترين راهكارهاي رسيدن به چنين نظامي، توجه به سنجه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 و روشهاي علم­سنجي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شاخصهاي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براي همۀ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رشته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علمي (حوزه­هاي علمي مختلف) قابل تعميم است. يا علم و دانش در حوزه­هاي مختلف علوم، به روش موجود در علم­سنجي (روش كمّي) قا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بل اندازه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شباهت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مختلف دانش (علوم پايه و طبيعي، علوم اجتماعي، علوم انساني) و تفاوت هر يك از آنها با هم، ساختار دانش از جمله شيوه‌هاي استناد، روش­شناسي و ... را در هر يك از گروه­ها مشترك و با ديگر گروه­ها متفاوت ساخته است. دانش از ديدگاه ع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­سنجي، طيف وسيعي ر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تشكيل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­دهد كه ضمن داشتن ارتباط، از لحاظ خصيصه­هاي معرفت­شناختي، تفاوتهايي با هم دارند. وظيفۀ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علم‌سنجي، توجه به اين اختلافها و زير و بم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­هاست.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جايگاه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اسناد و بروندادهاي علمي، پژوهشي و فناورانه، در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مختلف با يكديگر متفاوت است.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هر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از دانش، اسناد مخصوص به خود را دارد. براي مثال، در موسيقي و هنر، ورقه­هاي موسيقي يا نقاشي؛ در جغرافيا اطلس­ها و نقشه­ها؛ در حقوق، ماده­ها و مجموعه قوانين؛ در نجوم، سالنامه­ها؛ در نسب­شناسي، نسب­نامه­ها و شجره­نامه­ها و در روان­شناسي، آزمونها. 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غلب اسناد يك حوزه ملهم از 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­اي ديگر است. اين امر مربوط به تأثير نظري است. براي مثال، هنگامي كه علوم اجتماعي روشهاي علوم طبيعي را پيگيري كند، اسناد رديف اول، دوم و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سوم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علوم اجتماعي نيز به دنباله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­روي از ضوابط علوم طبيعي گرايش دارند (يورلند، 1381ب، ص 442).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ميزان اعتبار و قابليت استفاده از تحليل استنادي بر اساس نمايه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استنادي در تمامي قلمروهاي علمي، شامل علوم محض و كاربردي، علوم اجتماعي و علوم انساني، با توجه به ساختار نظام ارتباطي نوشتارهاي هر حوزه و ميزان پوشش اين حوزه­ها در نمايه­هاي استنادي آي.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اس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 آي. اختلاف نظر وجود دارد (موئد، 1387، ص 15).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هر يك از شاخه­هاي علوم، ويژگيهاي خاص خود را دارد. نبايد ويژگيها و شرايط خاص هر يك از حوزه­هاي علم و دانش را ناديده گرفت. در بسياري از علوم، فعاليتها بيشتر بُعد عملي دارند تا كتابشناختي. در اين مو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ارد،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استفاده از تحليل استنادي به سبك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كارساز نخواهد بود.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lastRenderedPageBreak/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اختيار داشتن پايگاه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 اطلاعاتي، از مقدمات تحليلهاي استنادي و سنجش بروندادهاي علمي است. ميزان پوشش اين پايگاه­ها در هر يك از مقوله­هاي علوم، بحث ديگري است كه درستي و نادرستي تحليلها را تحت تأثي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 قرار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­دهد. براي مثال، ثابت شده كه در علوم­ طبيعي و پايه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بين نتايج ارزيابيهاي اهل فن و تحليلهاي استنادي، همبستگي آماري پايداري وجود دارد؛ اما در علوم انساني چون پوشش موضوعي نمايه‌هاي استنادي متوسط است، يقيناً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مبتني بر اين پايگاه­ها به تنهايي 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اقص است و بايد با تحليلهاي كيفي همراه و تكميل شود.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شاخصهاي كمّي رشد علم در كشورهاي مختلف قابل تعميم و مقايسه است. به عبارت ديگر، شاخصهاي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تمام كشورها يكسان عمل مي­كند.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تفاوت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 سطوح زباني، توسعه و جايگاه علم و فناوري در كشورهاي مختلف، وضعيت علم و دانش و به تبع آن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را در بسياري از موارد، غيرقابل مقايسه ساخته است. كشورهاي انگليسي زبان، شانس بيشتري براي حضور در رده­هاي بالاي علمي در نظام آي. اس. آي. دارند. در كشورها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توسعه‌يافته، نيروي انساني، بودجه و امكانات بيشتري در خدمت علم و دانش قرار دارد. علم و فناوري، تأثير متقابلي بر رشد يكديگر دارند. هماهنگي ابزارهاي فناورانه در كشورهاي توسعه يافته، رشد مضاعف علم و دانش را در پي دارد.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سنجش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ارزيابي علم در فضاها، ساختارها و سازمانهاي اجتماعي، فرهنگي، اقتصادي و سياسي موجود در هر كشور با توجه به هدفها و برنامه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­هاي مربوط، متفاوت است. هرچند يادگيري و آگاهي از روشهاي علوم انساني نوين كه برگرفته از مباني نظري و فلسفه­هاي غربي است، ضروري است،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اما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بايد دانست كه نتايج اين گونه مطالعات دست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­كم گاهي بر پيش‌فرضهايي مبتني است كه با ويژگيها و مباني جو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امع ديگر، هماهنگي و همخواني ندارد. اصولاً معنا و مفهوم علم و دانش در فرهنگهاي مختلف، متفاوت است. ايران يكي از كشورهايي است كه از نظر علم و دانش، شرايط متف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اوتي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دارد. متأسفانه در ايران نگرش محدودي نسبت به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وجود دارد و با مراجعه به متون فارسي نمي­توان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قضاوت كرد. ذهنيت ناقصي در اين­باره وجود دارد. اين مسئله، مطالعۀ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جامع و عميق كيفي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را دچار مشكل مي­كند. علم­سنجي در ايران ب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بحرانهايى جدّى مواجه است. به نظر مى‏رسد يكى از عوامل اساسى اين امر آن است كه عالمان اين حوزه كوشيده‏اند با نظريه‏هايى كه ريشه در پيش‏فرضهاى غربى دارند، معضلات جامعة ايرانى را حل و فصل كنند، در حالى كه به نظر مى‏رسد با توجه به نقش پيش‏فرضها و پارادايمها،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راه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برون‏رفت از بحرانهاى مزبور، توجه به پيش‏فرضهاى انديش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ملي، اسلامى و بومي در زمينه معرفت‏شناسى، هستى‏شناسى، انسان‏شناسى و به تبع آن روش‏شناسى است.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·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    پيش فرضي كه مبناي روشهاي تحليل استنادي قرار گرفته و احكام متعدد متنوعي را سبب شده، اين است كه ميان متن و سند نوعي رابط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محتوايي وجود دارد و متن كم و بيش به همان موضوعي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­پردازد كه سند به آن پردا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خته است (حري، 1388).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حوزه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دانش با هم مرتبط هستند، حتي ميان هر متن و مآخذ آن، نوعي رابط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مفهومي و علمي وجود دارد. اين نكته در استنادها و تحليل استنادي به خوبي نمايان است و به دليل همين ربط مفهومي است كه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­توان از طريق شناخت سندها، متن اصلي را هم شناخت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، يا حداقل با گمانه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­زن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بسيار بالا نسبت به واقعيت متن آگاهي پيدا كرد؛ يعني متن بيان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­كنندۀ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همان مفاهيمي است كه مآخذ متن آن را بيان كرده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­اند. مفهوم بازيابي استنادي در بازيابي اطلاعات هم برگرفته از همين پيش­فرض است. البته، انتقادهايي هم در اين مورد وجود دارد.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براي مثال، يادآوري شد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است مآخذي كه در هر نوشته ظاهر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­شوند، الزاماً وجه علمي ندارند و ممكن است ملاحظات ديگري در ذكر و اشاره به آنها دخيل بوده باشد. مسئلۀ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ديگر هنگامي بروز مي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­كند كه افرادي مانند گارفيلد اظهار مي­دارند از طريق تحليل استنادي مي‌توان به ترس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يم تاريخ علم پرداخت. 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ين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نوع استفاده از تحليل استنادي به نظر آرمان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­گرايانه مي­رسد، زيرا براي نمونه ممكن است نقل فكر از طريق افراد واسطي دريافت شده باشد، اما نويسنده بدون ذكر آن منابع به سند اصلي استناد كند و واسطه­ها را نديده بگيرد و به اين خاطر نوعي شكاف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استنادي[16] ايجاد شود.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نتيجه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­گيري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تجزيه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تحليل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و روش­شناختي علوم در روشن كردن عوامل مؤثر بر رشد يا محدوديت علوم، نقش مهمي بر عهده دارد و حتي قادر است رويكرد دانشمندان و سياستگذاران علم را براي رشد و توسعۀ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علم، اصلاح نمايد.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تحليل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عميق و فلسفي يك حوزه، نيازمند كار زياد و مطالع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جامع منابع و متون است (يورلند، 2000). مطالعه و بررسي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علم‌سنجي هم از اين قاعده مستثنا نيست. بررسيهاي فوق بيانگر آن است كه علم‌سنجي هم مانند ديگر حوزه­هاي دانش، بر اساس يك سري پيش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‌فرضها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و اصول بديهي فرض شده، بنا شده است كه با تأمل در متون و افكاري كه در پس ذهن پژوهشگران حوز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lastRenderedPageBreak/>
        <w:t>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­سنجي وجود دارد، نمايان خواهند شد. اين پيش‌فرضها قابل نقد و بررسي هستند. با تحليل پيش‌فرضهاي معرفت­شناختي علم‌سنجي، مي­توان محدوديتهاي نظري آنها را شناسايي 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راهكارهايي را براي ارتقاي سطح نظري و فلسفي آن پيشنهاد نمود.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در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اين پژوهش، پيش‌فرضهاي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علم­سنجي تنها در حد اشاره به چند نكتۀ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اساسي، تحليل شده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­اند؛ در حالي كه هر يك از پيش‌فرضهاي مورد بررسي در اين مقاله را مي­توان به صورت جداگانه و به تفصيل، بررسي كر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د.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منابع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برنال، جان (1354). علم در تاريخ (ج1و2 در يك مجلد). (ح. اسدپور، كامران فاني، مترجمان). تهران: مؤسس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انتشارات اميركبير.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بورديو، پير (1386). علم و تأمل پذيري (يحيي امامي، مترجم). تهران: مركز تحقيقات سياست علمي كشور.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بيتس، مارسيا جي. (1387). مقدمه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­اي بر فرانظريه­ها، نظريه­ها و الگوها. ترجمۀ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غلامرضا حيدري. كتابداري و اطلاع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­رساني، فصلنامة سازمان كتابخانه­ها، موزه­ها و مراكز اسناد آستان قدس رضوي، 4 (11)، 275- 297.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تايشمن، جني و گراهام وايت (1379). فلسف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اروپايي در عصر نو (محمد سعيد حنايي كاشاني، مترجم). تهران: نشر مركز.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حُرّي، عباس (1388). درآمد: فريده عصاره، غلامرضا حيدري، فيروزه زارع فراشبندي، محسن حاجي زين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­العابديني. با مقدمۀ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عباس حري. از كتاب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تا وب­سنجي: تحليلي بر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مباني، ديدگاه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­ها، قواعد و شاخص­ها (ص 13- 17). تهران: كتابدار.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حيدري، غلامرضا (1388). تحليل مباني و جايگاه معرفت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­شناختي مفاهيم، انديشه­ها و نظريه­هاي حوزۀ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­سنجي در عصر حاضر. پايان­نامۀ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دكتري، دانشگاه شهيد چمران اهواز، دانشكده علوم تربيتي و روانشناسي، گروه كتابداري و اطلاع‌رساني.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دمپي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­ير، ويليام سسيل (1386). تاريخ علم، ترجمة عبدالحسين آذرنگ، تهران: سازمان مطالعه و تدوين علوم ­انساني دانشگاه­ها (سمت).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داوري اردكاني، رضا (1386). دربار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علم (ويرايش 2). تهران: انتشارات هرمس.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شارع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­پور، محمود و محمد فاضلي (1386). جامعه­شناسي علم و انجمن­هاي علمي در ايران. تهران: پژوهشكدۀ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مطالعات فرهنگي و اجتماعي؛ وزارت علوم، تحقيقات و فناوري، دفتر برنامه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­ريزي اجتماعي و مطالعات فرهنگي.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صدوقي، مجيد (1387). بازبيني و متناسب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­سازي معيارهاي ارزيابي پژوهش كمّي براي مطالعات كيفي. فصلنامه حوزه و دانشگاه، روش­شناسي علوم انساني، 14 (15)، 9-31.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گلاور، ديويد؛ شيلاف استرابريچ و محمد توكل (1384). جامعه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­شناسي معرفت و علم (شاپو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ر بهيان، حامد حاجي حيدري، جمال محمدي، محمدرضا مهدي‌زاده و حسن ملك). تهران: سازمان مطالعه و تدوين كتب علوم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­انساني دانشگاه­ها (سمت) (نشر اثر اصلي 1985).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     گنجي، محمدحسين (1384). كليات فلسفه. تهران: سازمان مطالعه و تدوين كتب علوم انساني دانشگاه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 xml:space="preserve">­ها (سمت).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-                 موئد، هنك (1387). تحليل استنادي در ارزيابي پژوهش، ترجمة عباس ميرزايي و حيدر مختاري. تهران: چاپار (نشر اثر اصلي 2005).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-            نوروزي‏ چاكلي، عبدالرضا، محمد حسن‏زاده و حمزه علي نورمحمدي (1388). سنجش علم، فناوري و نوآوري: مفاهيم و شاخص‏هاي بين‏المللي. تهران: مركز تحقيقات سياست علمي كشور.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يورلند، بيرگر (1381الف). بنيادهاي فلسفي، نظري و عملي كتابداري و اطلاع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­رساني (عبدالحسين آذرنگ، مترجم). در عليرضا بهمن­آبادي (ويراستار، گردآورنده و مترجم)، مباني تاريخچه و فلسف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ه علم اطلاع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­رساني (ص 1-48). تهران: كتابخانه ملي جمهوري اسلامي ايران (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نشر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اثر اصلي، 2000).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            ــــــــــــ (1381ب). نظريه و فرانظريه در علم اطلاع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­رساني: تفسيري جديد، ترجمة مهدي داودي، در عليرضا بهمن­آبادي (ويراستار، گردآورنده و مترجم)، مباني تاريخ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چه و فلسفه علم اطلاع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­رساني (ص 425-448). تهران: كتابخانه ملي جمهوري اسلامي ايران (نشر اثر ا</w:t>
      </w:r>
      <w:r w:rsidRPr="00C025D2">
        <w:rPr>
          <w:rStyle w:val="Strong"/>
          <w:rFonts w:ascii="B Nazanin" w:hAnsi="B Nazanin" w:cs="B Nazanin" w:hint="eastAsia"/>
          <w:b w:val="0"/>
          <w:bCs w:val="0"/>
          <w:color w:val="000000"/>
          <w:sz w:val="22"/>
          <w:szCs w:val="22"/>
          <w:rtl/>
        </w:rPr>
        <w:t>صلي،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1998).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lastRenderedPageBreak/>
        <w:t xml:space="preserve">       -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Granovsky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Yuri V. (2001).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Is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it possible to measure science?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V. V.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Nalimov’s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research in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scientometrics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.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Scientometrics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, 52 (2), 127-150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-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Hjorland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Birger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(1998). Theory and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metatheory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in information science: a new interpretation. Journal of Documentation 54 (5), 606-621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-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Hjorland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Birger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(2000). Library and information science: practice, theory and philosophical basis.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Information processing and management, 36, 501-535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  -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Holton, Gerald. (1978). Can science be measured? In: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elkana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Y., Lederberg, J., Merton, R. K.,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Thachray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, A., and Zuckerman, H. (eds.) toward a metric of science: the advent of science indicators (p.39-68). New York: John Wiley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.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-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Moed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Henk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F.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(2005). Citation Analysis in Research Evaluation.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Netherland: Springer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     - </w:t>
      </w:r>
      <w:proofErr w:type="spell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Vikery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, Brian (1997).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Metatheory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and information science.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Journal of Documentation, 53 (5), 457-467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--------------------------------------------------------------------------------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presupposition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2.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hypothesis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3.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metatheory</w:t>
      </w:r>
      <w:proofErr w:type="spellEnd"/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4.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Hjorland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5.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Vikery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6.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Bates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Foucault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2.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Dampier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Nash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Bernal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Holton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2.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Granovsky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3.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Moed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proofErr w:type="spellStart"/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Bourdieu</w:t>
      </w:r>
      <w:proofErr w:type="spell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  <w:proofErr w:type="gramEnd"/>
    </w:p>
    <w:p w:rsidR="00C025D2" w:rsidRPr="00C025D2" w:rsidRDefault="00C025D2" w:rsidP="00C025D2">
      <w:pPr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2. هنگامي كه شوروي سابق با الگوي مديريتي غير آزاد خود سفين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اسپونتيك را در سال 1957 با موفقيت به فضا ارسال كرد، اقتدار علمي‌ـ‌‌فني و نظامي آمريكا و پژوهشهاي رسالت</w:t>
      </w:r>
      <w:r w:rsidRPr="00C025D2">
        <w:rPr>
          <w:rStyle w:val="Strong"/>
          <w:rFonts w:ascii="B Nazanin" w:hAnsi="B Nazanin" w:cs="B Nazanin" w:hint="cs"/>
          <w:b w:val="0"/>
          <w:bCs w:val="0"/>
          <w:color w:val="000000"/>
          <w:sz w:val="22"/>
          <w:szCs w:val="22"/>
          <w:rtl/>
        </w:rPr>
        <w:t>­مدار غرب مورد سؤال واقع و برنامۀ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 سياستگذاري علمي متحول شد.</w:t>
      </w:r>
    </w:p>
    <w:p w:rsidR="00E21C08" w:rsidRPr="00C025D2" w:rsidRDefault="00C025D2" w:rsidP="00C025D2">
      <w:pPr>
        <w:rPr>
          <w:rFonts w:ascii="B Nazanin" w:hAnsi="B Nazanin" w:cs="B Nazanin"/>
          <w:sz w:val="22"/>
          <w:szCs w:val="22"/>
        </w:rPr>
      </w:pP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 xml:space="preserve">1. </w:t>
      </w:r>
      <w:proofErr w:type="gramStart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>citation</w:t>
      </w:r>
      <w:proofErr w:type="gramEnd"/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</w:rPr>
        <w:t xml:space="preserve"> gap</w:t>
      </w:r>
      <w:r w:rsidRPr="00C025D2">
        <w:rPr>
          <w:rStyle w:val="Strong"/>
          <w:rFonts w:ascii="B Nazanin" w:hAnsi="B Nazanin" w:cs="B Nazanin"/>
          <w:b w:val="0"/>
          <w:bCs w:val="0"/>
          <w:color w:val="000000"/>
          <w:sz w:val="22"/>
          <w:szCs w:val="22"/>
          <w:rtl/>
        </w:rPr>
        <w:t>.</w:t>
      </w:r>
    </w:p>
    <w:sectPr w:rsidR="00E21C08" w:rsidRPr="00C025D2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50470"/>
    <w:rsid w:val="001618B9"/>
    <w:rsid w:val="001A6181"/>
    <w:rsid w:val="001B0869"/>
    <w:rsid w:val="001B3EEE"/>
    <w:rsid w:val="001B6510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3B1A"/>
    <w:rsid w:val="002A7A03"/>
    <w:rsid w:val="002B1406"/>
    <w:rsid w:val="002B219A"/>
    <w:rsid w:val="002C2EA0"/>
    <w:rsid w:val="002C74C3"/>
    <w:rsid w:val="002D4EE0"/>
    <w:rsid w:val="002D7A27"/>
    <w:rsid w:val="00320A88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A4F14"/>
    <w:rsid w:val="003B277B"/>
    <w:rsid w:val="003B5AD3"/>
    <w:rsid w:val="003E02DB"/>
    <w:rsid w:val="003E5D0A"/>
    <w:rsid w:val="003F0936"/>
    <w:rsid w:val="004130FC"/>
    <w:rsid w:val="00422EC5"/>
    <w:rsid w:val="00424650"/>
    <w:rsid w:val="00424D0A"/>
    <w:rsid w:val="004373BE"/>
    <w:rsid w:val="00452CD4"/>
    <w:rsid w:val="00460F35"/>
    <w:rsid w:val="004C161B"/>
    <w:rsid w:val="004D4897"/>
    <w:rsid w:val="00515181"/>
    <w:rsid w:val="00517B67"/>
    <w:rsid w:val="00532794"/>
    <w:rsid w:val="00536510"/>
    <w:rsid w:val="00542643"/>
    <w:rsid w:val="005472E8"/>
    <w:rsid w:val="00550000"/>
    <w:rsid w:val="00553A9C"/>
    <w:rsid w:val="005767BA"/>
    <w:rsid w:val="005D0601"/>
    <w:rsid w:val="005E5162"/>
    <w:rsid w:val="005F14DF"/>
    <w:rsid w:val="0060789E"/>
    <w:rsid w:val="006104F9"/>
    <w:rsid w:val="006116B8"/>
    <w:rsid w:val="00623780"/>
    <w:rsid w:val="00626C9F"/>
    <w:rsid w:val="00642E73"/>
    <w:rsid w:val="00656947"/>
    <w:rsid w:val="00665C1A"/>
    <w:rsid w:val="00675AC9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5568E"/>
    <w:rsid w:val="007650B1"/>
    <w:rsid w:val="007B7784"/>
    <w:rsid w:val="007D1017"/>
    <w:rsid w:val="007E358D"/>
    <w:rsid w:val="007E67FA"/>
    <w:rsid w:val="00803B0B"/>
    <w:rsid w:val="008251EF"/>
    <w:rsid w:val="00830C69"/>
    <w:rsid w:val="008315A3"/>
    <w:rsid w:val="00831B4B"/>
    <w:rsid w:val="00834928"/>
    <w:rsid w:val="008540FB"/>
    <w:rsid w:val="00857EAE"/>
    <w:rsid w:val="00893745"/>
    <w:rsid w:val="008A447B"/>
    <w:rsid w:val="008D2AE1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70F02"/>
    <w:rsid w:val="00991110"/>
    <w:rsid w:val="00991A95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80C88"/>
    <w:rsid w:val="00A909BE"/>
    <w:rsid w:val="00AB297B"/>
    <w:rsid w:val="00AC657A"/>
    <w:rsid w:val="00AD4F85"/>
    <w:rsid w:val="00AE0E6F"/>
    <w:rsid w:val="00AE1578"/>
    <w:rsid w:val="00AE2CE5"/>
    <w:rsid w:val="00AE6FB4"/>
    <w:rsid w:val="00AE78C4"/>
    <w:rsid w:val="00AF6D7A"/>
    <w:rsid w:val="00B06CBB"/>
    <w:rsid w:val="00B11B88"/>
    <w:rsid w:val="00B23C1D"/>
    <w:rsid w:val="00B770DC"/>
    <w:rsid w:val="00B93383"/>
    <w:rsid w:val="00B94CA0"/>
    <w:rsid w:val="00BA3FE7"/>
    <w:rsid w:val="00BC6151"/>
    <w:rsid w:val="00BD561C"/>
    <w:rsid w:val="00BE5695"/>
    <w:rsid w:val="00BF5A04"/>
    <w:rsid w:val="00BF5F4E"/>
    <w:rsid w:val="00C00516"/>
    <w:rsid w:val="00C025D2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4E05"/>
    <w:rsid w:val="00D35377"/>
    <w:rsid w:val="00D51CB2"/>
    <w:rsid w:val="00D60C5D"/>
    <w:rsid w:val="00D70EA5"/>
    <w:rsid w:val="00D769C2"/>
    <w:rsid w:val="00D82A6C"/>
    <w:rsid w:val="00D844EF"/>
    <w:rsid w:val="00D940BE"/>
    <w:rsid w:val="00DC59B6"/>
    <w:rsid w:val="00DE3478"/>
    <w:rsid w:val="00E00B30"/>
    <w:rsid w:val="00E02CA3"/>
    <w:rsid w:val="00E15666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A7CCC"/>
    <w:rsid w:val="00EB40A6"/>
    <w:rsid w:val="00EC6641"/>
    <w:rsid w:val="00EC7190"/>
    <w:rsid w:val="00ED1493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0584"/>
    <w:rsid w:val="00F91354"/>
    <w:rsid w:val="00F9157C"/>
    <w:rsid w:val="00FB1F5D"/>
    <w:rsid w:val="00FB690C"/>
    <w:rsid w:val="00FD2648"/>
    <w:rsid w:val="00FE00C3"/>
    <w:rsid w:val="00FE2669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0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7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9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2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1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2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5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6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6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2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3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2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9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3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3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8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9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854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887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267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346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929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3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135">
              <w:marLeft w:val="284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389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3404">
              <w:marLeft w:val="28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293">
              <w:marLeft w:val="601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918">
              <w:marLeft w:val="732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446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7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525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204">
              <w:marLeft w:val="28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204">
              <w:marLeft w:val="601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131">
              <w:marLeft w:val="732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217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7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40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016">
              <w:marLeft w:val="28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314">
              <w:marLeft w:val="601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175">
              <w:marLeft w:val="732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024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8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560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773">
              <w:marLeft w:val="28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790">
              <w:marLeft w:val="601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197">
              <w:marLeft w:val="732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54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9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5948">
              <w:marLeft w:val="0"/>
              <w:marRight w:val="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60">
              <w:marLeft w:val="28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185">
              <w:marLeft w:val="601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16">
              <w:marLeft w:val="732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441">
              <w:marLeft w:val="284"/>
              <w:marRight w:val="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6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0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9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9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6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2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2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1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89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22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12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30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794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73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60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20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93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957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19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26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71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14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07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88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66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183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85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52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0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48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1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30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07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39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61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00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57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39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97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44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44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17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6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68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86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58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84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61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80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518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30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49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74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87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05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98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29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28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64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25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92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80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36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767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5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51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11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84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808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85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85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74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66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56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75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04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26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57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82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78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27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80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495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76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71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131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62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70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99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80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9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5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6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09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93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934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59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738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70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102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24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57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26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61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21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34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128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514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6123">
                      <w:marLeft w:val="284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399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97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7564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380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5639">
                      <w:marLeft w:val="-155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320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3583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61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9702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887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1940">
                      <w:marLeft w:val="90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163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953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8873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66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519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99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707">
                      <w:marLeft w:val="-155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0571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6745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657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613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19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7738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7420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4345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6432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060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368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874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3274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644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92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1114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4063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3706">
                      <w:marLeft w:val="-155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027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425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375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9905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9455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1809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593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24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8277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024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7710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4645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868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0457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577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493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76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75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6854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655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92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8277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465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21">
                      <w:marLeft w:val="-155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0371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034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8437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661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5666">
                      <w:marLeft w:val="284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7340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5210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5837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7225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709">
                      <w:marLeft w:val="-34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003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5482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241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6990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80440">
                      <w:marLeft w:val="-162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8770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718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563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23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74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79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829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55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5421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421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506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403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1412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359">
                      <w:marLeft w:val="284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873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41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42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36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3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775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99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14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60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8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49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08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23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83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586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6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52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80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53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87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101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53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78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86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90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42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59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3959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84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15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33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19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71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11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70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72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27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353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864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1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28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291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2523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964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941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676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270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105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7835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695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907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381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498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669">
                  <w:marLeft w:val="567"/>
                  <w:marRight w:val="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732">
                  <w:marLeft w:val="284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01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93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348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15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1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6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0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952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29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77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296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65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983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809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388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03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77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23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79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660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71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06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9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517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936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27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32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02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588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906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58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45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86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19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65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9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07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54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632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18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564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187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509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71">
          <w:marLeft w:val="284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2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58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22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58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37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449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99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019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742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698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38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39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01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050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36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61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7561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60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43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36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46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53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586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15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981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90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47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1840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09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46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28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258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056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17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4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00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70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446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44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66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070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74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361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789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08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74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446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33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841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74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006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877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479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42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418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512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960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678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66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24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431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275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873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78">
                  <w:marLeft w:val="567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3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1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5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9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3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4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1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9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3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3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1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0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5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5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3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9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7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4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2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4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1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7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82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6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9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2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2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6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4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8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1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3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9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7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9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7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2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1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8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4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5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9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0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6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99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4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4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6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7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4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1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1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9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7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3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7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2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9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6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7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9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4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6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2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0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7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0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7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5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6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7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8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5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1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9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5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0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9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78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1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98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9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3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5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8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7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1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3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5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5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7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8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9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6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4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0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0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5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4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5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4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8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8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4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58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70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7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2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8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1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59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0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0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0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5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8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9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8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7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7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1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9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0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1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6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7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3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8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3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2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6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4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09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2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4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8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7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9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0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2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1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7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13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7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8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5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4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7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9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1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9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7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9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2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5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5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2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4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8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0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8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2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3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8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1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5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5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7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0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2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0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3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2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24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5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7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4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6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1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2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39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38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9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3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0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9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9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7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238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5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4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2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090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092">
                  <w:marLeft w:val="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4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9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7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1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03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9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7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2233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1525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206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2270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3253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7784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6496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97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54999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625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8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0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7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9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3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4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2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9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7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0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1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4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7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3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9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4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8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6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2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4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3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2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9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7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1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0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9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4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2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6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8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1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8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4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42">
          <w:marLeft w:val="284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9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02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23">
          <w:marLeft w:val="284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55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753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992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62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103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18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56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8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496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63">
          <w:marLeft w:val="284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771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35">
          <w:marLeft w:val="284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781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972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099">
          <w:marLeft w:val="284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0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9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4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8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7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9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6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6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7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8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8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2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0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3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4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8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0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2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4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5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2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5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2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87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4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8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9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3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0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6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3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7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3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1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4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4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6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1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8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5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0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6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1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6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76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1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7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0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2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4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6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2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1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44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4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5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7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66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58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5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2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9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7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5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3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5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9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6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1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02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0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7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72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63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8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2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6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7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6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9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9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2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78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7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6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7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34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4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2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9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4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6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8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8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3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21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03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59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06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94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9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82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45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7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8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33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40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47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46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4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93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6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98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15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4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49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95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9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7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3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0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3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0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5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1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0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9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0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8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2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2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5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0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1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5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4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9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5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32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4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0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4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5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9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2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2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7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0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1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2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9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4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1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8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0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1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3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50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0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8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4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7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8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24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5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64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8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5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63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4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96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1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7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8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68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1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9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8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7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6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7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5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2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9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3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4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7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5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95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70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4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63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32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007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016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35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971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1001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42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483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571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796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35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457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39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678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734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371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391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7770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919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010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6434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527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624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34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694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931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63">
              <w:marLeft w:val="567"/>
              <w:marRight w:val="4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269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776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689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290">
              <w:marLeft w:val="426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auto"/>
          </w:divBdr>
        </w:div>
        <w:div w:id="18230829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9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5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8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3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3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9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6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6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8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8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4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0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9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7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1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0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5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2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0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1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5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3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4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886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6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9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0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2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6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3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70">
          <w:marLeft w:val="0"/>
          <w:marRight w:val="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7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1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7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2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6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0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2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5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1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4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9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2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1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4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0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318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0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8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5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1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9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0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4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4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7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9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0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662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2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6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7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1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2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4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9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803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81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79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6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1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7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1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4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3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1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7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33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5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3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17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52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68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31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8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45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893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54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28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79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52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48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57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33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52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86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81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89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37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30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85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96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95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8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13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03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72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76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62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04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53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56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81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39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35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82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1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72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67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14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02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0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5035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89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41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55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93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210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55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30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36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47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87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72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45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66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69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65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86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41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22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9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63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5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96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51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9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19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15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72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68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37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31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87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8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10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91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98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95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43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89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88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95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01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06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18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930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54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4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12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396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45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44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52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52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70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678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44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57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15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34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95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01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75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54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05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16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22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88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215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31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20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22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09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98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43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42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88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82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31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733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70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49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80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28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91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54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93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04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99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955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11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16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54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22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61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39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69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9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83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06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71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70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61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17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83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39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97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77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76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73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70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70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09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46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98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30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21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17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47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65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48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07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85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26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48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32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10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79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472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71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08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60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18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6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39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5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75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65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21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06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43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601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472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59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17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97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379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053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970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13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93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338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2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02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834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06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206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56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44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141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68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456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940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990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10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26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53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56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510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69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828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658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39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3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06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28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342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861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640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621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56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74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473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97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0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70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39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665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351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224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529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413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017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433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5044">
              <w:marLeft w:val="567"/>
              <w:marRight w:val="2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256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225">
              <w:marLeft w:val="284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7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7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6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5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2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1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4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3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6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3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7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4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2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0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3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5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73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0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9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16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18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89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1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7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82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9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6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61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5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2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2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2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7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7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17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6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3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79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0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1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4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4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39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0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2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0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6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6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5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5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22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7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80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91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77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76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71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2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3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00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8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68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9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40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4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90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2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95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3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72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7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3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9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2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2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9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75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27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6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59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43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75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9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97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5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82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8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8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3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226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4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3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5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18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083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4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518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394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68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39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43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741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17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195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440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102">
          <w:marLeft w:val="284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55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2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8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8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7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0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32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4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11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9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35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5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2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59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5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09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46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0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2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5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40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49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14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03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0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9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88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0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7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4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41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4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1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61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86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5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8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9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29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39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6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2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6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1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2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32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05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76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7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30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3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02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14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8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85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9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5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6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3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25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5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9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65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9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59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02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6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0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9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4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01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6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4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8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84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3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29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93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9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1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59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89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6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72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78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2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8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90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6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44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0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19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4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1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92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2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7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4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34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3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5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25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5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2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07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0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3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13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5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8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6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49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2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8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60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5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4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6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5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7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9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9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1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7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4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2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0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4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7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5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2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7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2012-01-06T21:52:00Z</dcterms:created>
  <dcterms:modified xsi:type="dcterms:W3CDTF">2012-01-06T21:52:00Z</dcterms:modified>
</cp:coreProperties>
</file>