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7B" w:rsidRPr="00AB297B" w:rsidRDefault="00AB297B" w:rsidP="00AB297B">
      <w:pPr>
        <w:rPr>
          <w:rFonts w:ascii="B Nazanin" w:hAnsi="B Nazanin" w:cs="B Nazanin"/>
          <w:color w:val="000000"/>
          <w:sz w:val="22"/>
          <w:szCs w:val="2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نام مقاله:  شناسايي عوامل محوري در تدوين خط مشي مديريت منابع الكترونيكي براي كتابخانه هاي مركزي دانشگاه هاي دولتي ايران  </w:t>
      </w:r>
    </w:p>
    <w:p w:rsidR="00AB297B" w:rsidRPr="00AB297B" w:rsidRDefault="00AB297B" w:rsidP="00AB297B">
      <w:pPr>
        <w:rPr>
          <w:rFonts w:ascii="B Nazanin" w:hAnsi="B Nazanin" w:cs="B Nazanin"/>
          <w:color w:val="000000"/>
          <w:sz w:val="22"/>
          <w:szCs w:val="2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نام نشريه:  فصلنامه كتابداري و اطلاع رساني (اين نشريه در </w:t>
      </w:r>
      <w:r w:rsidRPr="00AB297B">
        <w:rPr>
          <w:rFonts w:ascii="B Nazanin" w:hAnsi="B Nazanin" w:cs="B Nazanin"/>
          <w:color w:val="000000"/>
          <w:sz w:val="22"/>
          <w:szCs w:val="28"/>
        </w:rPr>
        <w:t>www.isc.gov.ir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نمايه مي شود)  </w:t>
      </w:r>
    </w:p>
    <w:p w:rsidR="00AB297B" w:rsidRPr="00AB297B" w:rsidRDefault="00AB297B" w:rsidP="00AB297B">
      <w:pPr>
        <w:rPr>
          <w:rFonts w:ascii="B Nazanin" w:hAnsi="B Nazanin" w:cs="B Nazanin"/>
          <w:color w:val="000000"/>
          <w:sz w:val="22"/>
          <w:szCs w:val="2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شماره نشريه:  52 _ شماره چهارم-جلد 13 </w:t>
      </w:r>
    </w:p>
    <w:p w:rsidR="00AB297B" w:rsidRDefault="00AB297B" w:rsidP="00AB297B">
      <w:pPr>
        <w:rPr>
          <w:rFonts w:ascii="B Nazanin" w:hAnsi="B Nazanin" w:cs="B Nazanin"/>
          <w:color w:val="000000"/>
          <w:sz w:val="22"/>
          <w:szCs w:val="28"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پديدآور:  زاهد بيگدلي، فريده عصاره، غلام رضا رجبي، فيروزه زارع فراشيندي</w:t>
      </w:r>
    </w:p>
    <w:p w:rsidR="00AB297B" w:rsidRDefault="00AB297B" w:rsidP="00AB297B">
      <w:pPr>
        <w:jc w:val="center"/>
        <w:rPr>
          <w:rFonts w:ascii="B Nazanin" w:hAnsi="B Nazanin" w:cs="B Nazanin"/>
          <w:color w:val="000000"/>
          <w:sz w:val="22"/>
          <w:szCs w:val="28"/>
        </w:rPr>
      </w:pPr>
    </w:p>
    <w:p w:rsidR="00AB297B" w:rsidRPr="00AB297B" w:rsidRDefault="00AB297B" w:rsidP="00AB297B">
      <w:pPr>
        <w:jc w:val="center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شناسايي عوامل محوري در تدوين خط‌مشي مديريت منابع الكترونيكي براي كتابخانه‌هاي مركزي دانشگاه‌هاي دولتي ايران</w:t>
      </w:r>
      <w:bookmarkStart w:id="0" w:name="_ftnref1"/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instrText>HYPERLINK "http://www.aqlibrary.org/modules/FCKEditor/pnincludes/editor/fckeditor.html?InstanceName=desc&amp;Toolbar=Default" \l "_ftn1" \o</w:instrTex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8"/>
          <w:rtl/>
        </w:rPr>
        <w:t>*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end"/>
      </w:r>
      <w:bookmarkEnd w:id="0"/>
    </w:p>
    <w:p w:rsidR="00AB297B" w:rsidRPr="00AB297B" w:rsidRDefault="00AB297B" w:rsidP="00AB297B">
      <w:pPr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t> </w:t>
      </w:r>
    </w:p>
    <w:p w:rsidR="00AB297B" w:rsidRPr="00AB297B" w:rsidRDefault="00AB297B" w:rsidP="00AB297B">
      <w:pPr>
        <w:ind w:firstLine="567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rtl/>
        </w:rPr>
        <w:t>دكتر زاهد بيگدلي</w:t>
      </w:r>
      <w:bookmarkStart w:id="1" w:name="_ftnref2"/>
      <w:r w:rsidRPr="00AB297B">
        <w:rPr>
          <w:rFonts w:ascii="B Nazanin" w:hAnsi="B Nazanin" w:cs="B Nazanin"/>
          <w:color w:val="000000"/>
          <w:sz w:val="22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</w:rPr>
        <w:instrText>HYPERLINK "http://www.aqlibrary.org/modules/FCKEditor/pnincludes/editor/fckeditor.html?InstanceName=desc&amp;Toolbar=Default" \l "_ftn2" \o</w:instrText>
      </w:r>
      <w:r w:rsidRPr="00AB297B">
        <w:rPr>
          <w:rFonts w:ascii="B Nazanin" w:hAnsi="B Nazanin" w:cs="B Nazanin"/>
          <w:color w:val="000000"/>
          <w:sz w:val="22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[1]</w:t>
      </w:r>
      <w:r w:rsidRPr="00AB297B">
        <w:rPr>
          <w:rFonts w:ascii="B Nazanin" w:hAnsi="B Nazanin" w:cs="B Nazanin"/>
          <w:color w:val="000000"/>
          <w:sz w:val="22"/>
          <w:rtl/>
        </w:rPr>
        <w:fldChar w:fldCharType="end"/>
      </w:r>
      <w:bookmarkEnd w:id="1"/>
      <w:r w:rsidRPr="00AB297B">
        <w:rPr>
          <w:rFonts w:ascii="B Nazanin" w:hAnsi="B Nazanin" w:cs="B Nazanin"/>
          <w:color w:val="000000"/>
          <w:sz w:val="22"/>
          <w:rtl/>
        </w:rPr>
        <w:t xml:space="preserve"> </w:t>
      </w:r>
    </w:p>
    <w:p w:rsidR="00AB297B" w:rsidRPr="00AB297B" w:rsidRDefault="00AB297B" w:rsidP="00AB297B">
      <w:pPr>
        <w:ind w:firstLine="567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rtl/>
        </w:rPr>
        <w:t>دكتر فريده عصاره</w:t>
      </w:r>
      <w:bookmarkStart w:id="2" w:name="_ftnref3"/>
      <w:r w:rsidRPr="00AB297B">
        <w:rPr>
          <w:rFonts w:ascii="B Nazanin" w:hAnsi="B Nazanin" w:cs="B Nazanin"/>
          <w:color w:val="000000"/>
          <w:sz w:val="22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</w:rPr>
        <w:instrText>HYPERLINK "http://www.aqlibrary.org/modules/FCKEditor/pnincludes/editor/fckeditor.html?InstanceName=desc&amp;Toolbar=Default" \l "_ftn3" \o</w:instrText>
      </w:r>
      <w:r w:rsidRPr="00AB297B">
        <w:rPr>
          <w:rFonts w:ascii="B Nazanin" w:hAnsi="B Nazanin" w:cs="B Nazanin"/>
          <w:color w:val="000000"/>
          <w:sz w:val="22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[2]</w:t>
      </w:r>
      <w:r w:rsidRPr="00AB297B">
        <w:rPr>
          <w:rFonts w:ascii="B Nazanin" w:hAnsi="B Nazanin" w:cs="B Nazanin"/>
          <w:color w:val="000000"/>
          <w:sz w:val="22"/>
          <w:rtl/>
        </w:rPr>
        <w:fldChar w:fldCharType="end"/>
      </w:r>
      <w:bookmarkEnd w:id="2"/>
      <w:r w:rsidRPr="00AB297B">
        <w:rPr>
          <w:rFonts w:ascii="B Nazanin" w:hAnsi="B Nazanin" w:cs="B Nazanin"/>
          <w:color w:val="000000"/>
          <w:sz w:val="22"/>
          <w:rtl/>
        </w:rPr>
        <w:t xml:space="preserve"> </w:t>
      </w:r>
    </w:p>
    <w:p w:rsidR="00AB297B" w:rsidRPr="00AB297B" w:rsidRDefault="00AB297B" w:rsidP="00AB297B">
      <w:pPr>
        <w:ind w:firstLine="567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rtl/>
        </w:rPr>
        <w:t>دكتر غلامرضا رجبي</w:t>
      </w:r>
      <w:bookmarkStart w:id="3" w:name="_ftnref4"/>
      <w:r w:rsidRPr="00AB297B">
        <w:rPr>
          <w:rFonts w:ascii="B Nazanin" w:hAnsi="B Nazanin" w:cs="B Nazanin"/>
          <w:color w:val="000000"/>
          <w:sz w:val="22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</w:rPr>
        <w:instrText>HYPERLINK "http://www.aqlibrary.org/modules/FCKEditor/pnincludes/editor/fckeditor.html?InstanceName=desc&amp;Toolbar=Default" \l "_ftn4" \o</w:instrText>
      </w:r>
      <w:r w:rsidRPr="00AB297B">
        <w:rPr>
          <w:rFonts w:ascii="B Nazanin" w:hAnsi="B Nazanin" w:cs="B Nazanin"/>
          <w:color w:val="000000"/>
          <w:sz w:val="22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[3]</w:t>
      </w:r>
      <w:r w:rsidRPr="00AB297B">
        <w:rPr>
          <w:rFonts w:ascii="B Nazanin" w:hAnsi="B Nazanin" w:cs="B Nazanin"/>
          <w:color w:val="000000"/>
          <w:sz w:val="22"/>
          <w:rtl/>
        </w:rPr>
        <w:fldChar w:fldCharType="end"/>
      </w:r>
      <w:bookmarkEnd w:id="3"/>
      <w:r w:rsidRPr="00AB297B">
        <w:rPr>
          <w:rFonts w:ascii="B Nazanin" w:hAnsi="B Nazanin" w:cs="B Nazanin"/>
          <w:color w:val="000000"/>
          <w:sz w:val="22"/>
          <w:rtl/>
        </w:rPr>
        <w:t xml:space="preserve"> </w:t>
      </w:r>
    </w:p>
    <w:p w:rsidR="00AB297B" w:rsidRPr="00AB297B" w:rsidRDefault="00AB297B" w:rsidP="00AB297B">
      <w:pPr>
        <w:ind w:firstLine="567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rtl/>
        </w:rPr>
        <w:t>فيروزه زارع فراشبندي</w:t>
      </w:r>
      <w:bookmarkStart w:id="4" w:name="_ftnref5"/>
      <w:r w:rsidRPr="00AB297B">
        <w:rPr>
          <w:rFonts w:ascii="B Nazanin" w:hAnsi="B Nazanin" w:cs="B Nazanin"/>
          <w:color w:val="000000"/>
          <w:sz w:val="22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</w:rPr>
        <w:instrText>HYPERLINK "http://www.aqlibrary.org/modules/FCKEditor/pnincludes/editor/fckeditor.html?InstanceName=desc&amp;Toolbar=Default" \l "_ftn5" \o</w:instrText>
      </w:r>
      <w:r w:rsidRPr="00AB297B">
        <w:rPr>
          <w:rFonts w:ascii="B Nazanin" w:hAnsi="B Nazanin" w:cs="B Nazanin"/>
          <w:color w:val="000000"/>
          <w:sz w:val="22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[4]</w:t>
      </w:r>
      <w:r w:rsidRPr="00AB297B">
        <w:rPr>
          <w:rFonts w:ascii="B Nazanin" w:hAnsi="B Nazanin" w:cs="B Nazanin"/>
          <w:color w:val="000000"/>
          <w:sz w:val="22"/>
          <w:rtl/>
        </w:rPr>
        <w:fldChar w:fldCharType="end"/>
      </w:r>
      <w:bookmarkEnd w:id="4"/>
    </w:p>
    <w:p w:rsidR="00AB297B" w:rsidRPr="00AB297B" w:rsidRDefault="00AB297B" w:rsidP="00AB297B">
      <w:pPr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28"/>
          <w:rtl/>
        </w:rPr>
        <w:t>چكيده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t>هدف از پژوهش حاضر، تعيين مؤلفه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هاي اصلي و رئوس مطالب به منظور تدوين خط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مشي مديريت منابع الكترونيكي براي كتابخانه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هاي مركزي دانشگاه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هاي دولتي ايران است. نوع پژوهش كيفي- كاربردي، و روش آن پيمايشي است. ابزار پژوهش، پرسشنامة محقق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ساخته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اي است كه بين مديران 112 كتابخانه مركزي وابسته به دانشگاه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هاي دولتي توزيع شده است. يافته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ها نشان داد از نظر مديران مذكور، دست كم وجود 9 عامل در تدوين خط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مشي مديريت منابع الكترونيكي براي كتابخانه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هاي مورد بررسي ضروري است و بايد در آن لحاظ شود. اين 9 عامل به ترتيب واريانس تبيين شده، عبارتند از: مسائل مربوط به دسترسي، مباحث فني و تخصصي، نيازسنجي از كاربران، بيان رسالت، هدفها و مسائل مالي، اجرا و بازنگري در خط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مشي، مسائل مربوط به ديجيتال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سازي، معيارهاي انتخاب منابع الكترونيكي، مقدمه و تعريفهاي مربوط به انواع منابع الكترونيكي، و نيروي انساني. از نتايج مهم اين پژوهش مي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توان به روابط دروني بين عوامل نه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گانه اشاره كرد كه در مدلي عيني اين روابط و تأثيرگذاري دو جانبه آنها بر يكديگر ترسيم شده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 xml:space="preserve"> است. پيشنهاد مي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شود تهيه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كنندگان خط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مشي مديريت منابع الكترونيكي در تدوين خط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مشي به اين عوامل و تأثير و تأثر آنان بر همديگر به شكل خاص توجه كنند.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t>كليدواژه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ها: مديريت منابع الكترونيكي، خط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مشي، مجموعه‌سازي، كتابخانه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هاي مركزي دانشگاه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هاي ايران، خط مشي منابع الكترونيكي.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 </w:t>
      </w:r>
    </w:p>
    <w:p w:rsidR="00AB297B" w:rsidRPr="00AB297B" w:rsidRDefault="00AB297B" w:rsidP="00AB297B">
      <w:pPr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28"/>
          <w:rtl/>
        </w:rPr>
        <w:t>مقدمه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امروزه دگرگونيهاي بسياري در روشهاي توليد، انتقال و استفاده از دانش بشري رخ داده كه اهميت محملهاي سنّتي آن مانند كتاب چاپي، مجله و پيايندها را كم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رنگ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تر كرده است. افزايش انتشارات الكترونيكي كه محملها و امكانات دسترسي ديگري به اطلاعات فراهم آورده،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 را ناچار مي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سازد به منظور گنجانيدن اين محصولات جديد در مجموعه خود، در الگوهاي مديريتي خويش بازنگري كنند (روستو</w:t>
      </w:r>
      <w:bookmarkStart w:id="5" w:name="_ftnref6"/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instrText>HYPERLINK "http://www.aqlibrary.org/modules/FCKEditor/pnincludes/editor/fckeditor.html?InstanceName=desc&amp;Toolbar=Default" \l "_ftn6" \o</w:instrTex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[5]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end"/>
      </w:r>
      <w:bookmarkEnd w:id="5"/>
      <w:r w:rsidRPr="00AB297B">
        <w:rPr>
          <w:rFonts w:ascii="B Nazanin" w:hAnsi="B Nazanin" w:cs="B Nazanin"/>
          <w:color w:val="000000"/>
          <w:sz w:val="22"/>
          <w:szCs w:val="18"/>
          <w:rtl/>
        </w:rPr>
        <w:t>، 1995).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با رواج روزافزون بازار فناوريهاي نوين و رسانه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الكترونيكي، بازنگري در امر فراهم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آوري و نقش واحدهاي سنّتي دست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اندركار اين امر، اجتناب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ناپذير است. اكنون با توجه به جايگزيني رويكرد مفهوم دسترسي به اطلاعات به جاي مالكيت آن، نقش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 فراهم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آوري و مديريت مجموعه در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 تغيير كرده است. مشكلات خاص تهيه انتشارات الكترونيكي، دستيابي به اطلاعات موجود در شبكه‌هاي اطلاعاتي و استفادة كامل و مناسب از متخصصان امر فراهم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آوري در محيطهاي جديد، از جمله مباحث نيازمند توجه در مديريت مجموعه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هاست (ويكري</w:t>
      </w:r>
      <w:bookmarkStart w:id="6" w:name="_ftnref7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"_ftn7"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[6]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6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، 1995). 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از سوي ديگر، مديريت صحيح منابع اطلاعاتي در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ها، در گرو تدوين سياست و خط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مشي مجموعه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گستري جامعي است كه همه رسانه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اطّلاعاتي را پوشش دهد و ميان منابع چاپي و الكترونيكي تعادل برقرار نمايد. امروزه براي بسياري از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 اين سؤال مطرح است كه آيا منابع الكترونيكي بايد جايگزين مواد سنّتي شوند؟ علاقه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مندان به منابع الكترونيكي مزاياي متعددي مانند: سهولت انتقال</w:t>
      </w:r>
      <w:bookmarkStart w:id="7" w:name="_ftnref8"/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instrText>HYPERLINK "http://www.aqlibrary.org/modules/FCKEditor/pnincludes/editor/fckeditor.html?InstanceName=desc&amp;Toolbar=Default" \l "_ftn8" \o</w:instrTex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[7]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end"/>
      </w:r>
      <w:bookmarkEnd w:id="7"/>
      <w:r w:rsidRPr="00AB297B">
        <w:rPr>
          <w:rFonts w:ascii="B Nazanin" w:hAnsi="B Nazanin" w:cs="B Nazanin"/>
          <w:color w:val="000000"/>
          <w:sz w:val="22"/>
          <w:szCs w:val="18"/>
          <w:rtl/>
        </w:rPr>
        <w:t>، امكان انتقال اطلاعات به صورت چندرسانه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اي</w:t>
      </w:r>
      <w:bookmarkStart w:id="8" w:name="_ftnref9"/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instrText>HYPERLINK "http://www.aqlibrary.org/modules/FCKEditor/pnincludes/editor/fckeditor.html?InstanceName=desc&amp;Toolbar=Default" \l "_ftn9" \o</w:instrTex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[8]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end"/>
      </w:r>
      <w:bookmarkEnd w:id="8"/>
      <w:r w:rsidRPr="00AB297B">
        <w:rPr>
          <w:rFonts w:ascii="B Nazanin" w:hAnsi="B Nazanin" w:cs="B Nazanin"/>
          <w:color w:val="000000"/>
          <w:sz w:val="22"/>
          <w:szCs w:val="18"/>
          <w:rtl/>
        </w:rPr>
        <w:t xml:space="preserve">، ارسال و دريافت فوري (بدون محدوديت 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lastRenderedPageBreak/>
        <w:t>مكاني)، تعدد نقاط دسترسي به محتواي منابع الكترونيكي بدون محدوديتهاي بازيابي اطلاعات در منابع چاپي، انتقال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پذيري به پايگاه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اطلاعاتي شخصي، كاهش هزينه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صحافي، ذخيره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سازي و بازيابي اطلاعات از آنها براي منابع الكترونيكي قايل هستند (ليندن</w:t>
      </w:r>
      <w:bookmarkStart w:id="9" w:name="_ftnref10"/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instrText>HYPERLINK "http://www.aqlibrary.org/modules/FCKEditor/pnincludes/editor/fckeditor.html?InstanceName=desc&amp;Toolbar=Default" \l "_ftn10" \o</w:instrTex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[9]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end"/>
      </w:r>
      <w:bookmarkEnd w:id="9"/>
      <w:r w:rsidRPr="00AB297B">
        <w:rPr>
          <w:rFonts w:ascii="B Nazanin" w:hAnsi="B Nazanin" w:cs="B Nazanin"/>
          <w:color w:val="000000"/>
          <w:sz w:val="22"/>
          <w:szCs w:val="18"/>
          <w:rtl/>
        </w:rPr>
        <w:t>، 1996). با وجود اين مزايا، روشهاي انتخاب و فراهم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آوري مواد الكترونيكي هنوز به بررسي و آزمايش در محيطهاي گوناگون نياز دارد و به كارگيري معيارها و خط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مشي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مشخّص براي انتخاب اين‌گونه مواد، نيازي است كه به شدّت احساس مي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شود.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تعيين اصولي براي انتخاب منابع الكترونيكي مانع حذف منابع كليدي در كتابخانه و تجمع نامتناسب اين منابع در كتابخانه مي‌شود. فايدۀ ديگر اين امر، دفاع كتابخانه از تخصيص بودجه و تعيين اولويتهاي مالي كتابخانه در برابر كساني است كه يا در مقابل فناوريهاي جديد مقاومت مي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كنند و يا اعتقاد دارند بودجۀ منابع چاپي نبايد صرف منابع الكترونيكي شود، زيرا در آينده نزديك دانشگاه مجبور است بودجۀ جداگانه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اي براي اين منابع در نظر گيرد.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اكنون با رشد روز افزون منابع الكترونيكي اين سؤال به ذهن خطور مي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كند كه سياستهاي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دانشگاهي ايران دربارة اين گونه منابع، چگونه در خط‌مشي مجموعه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گستري آنها منعكس مي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شود؟ در حال حاضر، بسياري از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دانشگاهي ايران نسبت به تهيه منابع الكترونيكي براي مجموعۀ خود دقت كافي به خرج مي‌دهند، اما به نظر مي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رسد تهيۀ اين مواد هر چند ممكن است تابع الگويي نانوشته باشد، از اصولي مكتوب و داراي برنامه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ريزي پيروي نمي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كند. چنين به نظر مي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رسد كه در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دانشگاهي ايران، به لزوم داشتن خط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مشي مجموعه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گستري چنان كه بايد و شايد توجه نشده است (سينايي، 1376؛ زارعي، 1380؛ كوهي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 xml:space="preserve"> رستمي، 1386). 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تدوين يك خط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مشي،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 xml:space="preserve"> نيازمند مطالعه، تفحّص، دقت و برنامه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ريزي است، حال آن كه با توجه به كمبود نيروي انساني در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دانشگاهي از يك سو و آشنا نبودن برخي از مسئولان دانشگاه با وظايف و هدفهاي كتابخانه از سوي ديگر و دلايل عمدۀ ديگري همچون مشكلات اداري ـ مالي و مشكلات مديريتي (زارعي،1380) شاهد فقدان انگيزه يا اقدام در جهت تهيه و تدوين خط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مشي براي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دانشگاهي ايران هستيم. در چنين حالتي، چه بايد كرد؟ به نظر مي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رسد در صورت نبود يك خط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مشي اختصاصي مدوّن كه توسط هر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 xml:space="preserve"> تهيه شده باشد، بتوان از الگويي كلي و انعطاف‌پذير پيروي نمود. چنين الگويي ممكن است توسط يك سازمان ملّي مانند كتابخانۀ ملّي تهيه شود يا گروهي از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دانشگاهي يا پژوهشي آن را تدوين نمايند و يا در نتيجۀ پژوهش تخصصي در حوزۀ كتابداري و اطلاع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رساني، به دست آيد. در اين صورت، گروهي از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دانشگاهي مي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توانند در عين پيروي از يك الگوي واحد، در موارد خاص و بسته به نياز خود، به تصميم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گيريهاي متفاوت نيز اقدام كنند.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با توجه به آنچه گفته شد، اين پژوهش بر آن است تا از طريق نظرسنجي از مديران فعلي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مركزي دانشگاه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دولتي ايران، در خصوص مؤلفه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اصلي رايج در خط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مشي‌هاي مديريت منابع الكترونيكي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دانشگاهي جهان، عوامل و مؤلفه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اصلي رايج در تدوين يك خط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مشي مديريت منابع الكترونيكي براي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دانشگاهي ايران را شناسايي كند و در اختيار اين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 قرار دهد.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اهميت و ضرورت چنين پژوهشي در دلايل ذيل نهفته است: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rtl/>
        </w:rPr>
        <w:t>1.</w:t>
      </w:r>
      <w:r w:rsidRPr="00AB297B">
        <w:rPr>
          <w:rFonts w:ascii="B Nazanin" w:hAnsi="B Nazanin" w:cs="B Nazanin"/>
          <w:color w:val="000000"/>
          <w:sz w:val="22"/>
          <w:szCs w:val="14"/>
          <w:rtl/>
        </w:rPr>
        <w:t xml:space="preserve">    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t>محقق در بررسي اوليۀ خود بر روي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دانشگاه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علوم پزشكي ايران دريافت كه اغلب آنان فاقد هرگونه خط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مشي (مدوّن يا غيرمدوّن، چه در مجموعه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سازي و چه به صورت كلي) هستند. براي مثال، «كوهي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رستمي» (1386) در بررسي وضعيت خط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مشي مجموعه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گستري (غير از منابع الكترونيكي) در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مركزي دانشگاه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تحت پوشش وزارت علوم و وزارت بهداشت دريافت كه7/37% از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 داراي خط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مشي مكتوبمي‌باشند، 4/34% خط‌مشي شفاهي دارند و 9/27% فاقد هرگونه خط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مشي مشخص مجموعه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گستري هستند. با توّجه به اين‌كه خط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مشي شفاهي، جنبۀ عملي و رسمي ندارد، هنوز حداقل تقريباً نزديك به يك دوم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مركزي دانشگاه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وزارت علوم و بيش از سه‌چهارم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مركزي دانشگاه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وزارت بهداشت، خط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 xml:space="preserve">مشي مجموعه‌گستري هستند. 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rtl/>
        </w:rPr>
        <w:t>2.</w:t>
      </w:r>
      <w:r w:rsidRPr="00AB297B">
        <w:rPr>
          <w:rFonts w:ascii="B Nazanin" w:hAnsi="B Nazanin" w:cs="B Nazanin"/>
          <w:color w:val="000000"/>
          <w:sz w:val="22"/>
          <w:szCs w:val="14"/>
          <w:rtl/>
        </w:rPr>
        <w:t xml:space="preserve">    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t>از يك سو، افزايش قيمت منابع بويژه مجله‌هاي پژوهشي و در كنار آن كاهش بودجۀ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 و از سوي ديگر، افزايش تمايل به استفاده و تهيه منابع الكترونيكي، ضرورت تهيۀ يك الگوي مناسب مجموعه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سازي جهت ايجاد توازن در مجموعه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دانشگاهي ايران را آشكار مي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كند.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rtl/>
        </w:rPr>
        <w:t>3.</w:t>
      </w:r>
      <w:r w:rsidRPr="00AB297B">
        <w:rPr>
          <w:rFonts w:ascii="B Nazanin" w:hAnsi="B Nazanin" w:cs="B Nazanin"/>
          <w:color w:val="000000"/>
          <w:sz w:val="22"/>
          <w:szCs w:val="14"/>
          <w:rtl/>
        </w:rPr>
        <w:t xml:space="preserve">    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t>تا به حال هيچ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گونه پژوهشي در زمينة خط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مشي مديريت مجموعه منابع الكترونيكي در كتابخانه‌هاي دانشگاهي ايران صورت نگرفته است.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rtl/>
        </w:rPr>
        <w:t>4.</w:t>
      </w:r>
      <w:r w:rsidRPr="00AB297B">
        <w:rPr>
          <w:rFonts w:ascii="B Nazanin" w:hAnsi="B Nazanin" w:cs="B Nazanin"/>
          <w:color w:val="000000"/>
          <w:sz w:val="22"/>
          <w:szCs w:val="14"/>
          <w:rtl/>
        </w:rPr>
        <w:t xml:space="preserve">    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t>با وجود اين كه مبحث مجموعه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سازي و مديريت مجموعه زيربناي خدمات هر كتابخانه است، در پايان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نامه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مقاطع ارشد و دكتراي كتابداري و اطلاع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رساني كمتر به اين موضوع توجه شده است. تحقيقات انجام شده نيز بيشتر در زمينه ارزيابي مجموعه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فعلي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 بوده است.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rtl/>
        </w:rPr>
        <w:t>5.</w:t>
      </w:r>
      <w:r w:rsidRPr="00AB297B">
        <w:rPr>
          <w:rFonts w:ascii="B Nazanin" w:hAnsi="B Nazanin" w:cs="B Nazanin"/>
          <w:color w:val="000000"/>
          <w:sz w:val="22"/>
          <w:szCs w:val="14"/>
          <w:rtl/>
        </w:rPr>
        <w:t xml:space="preserve">    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t>تدوين الگوي مناسب مديريت منابع الكترونيكي مي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تواند كمك مؤثري در دستيابي كتابخانه به رسالت اصلي آن، يعني دسترسي سريع و آسان مراجعان كتابخانه به اطلاعات مناسب، در زمان و مكان مناسب باشد.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 </w:t>
      </w:r>
    </w:p>
    <w:p w:rsidR="00AB297B" w:rsidRPr="00AB297B" w:rsidRDefault="00AB297B" w:rsidP="00AB297B">
      <w:pPr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28"/>
          <w:rtl/>
        </w:rPr>
        <w:t>پيشينه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پس از سال 1380، بتدريج ورود منابع الكترونيكي به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دانشگاهي ايران مورد توجه قرار گرفت و همزمان بحث لزوم تدوين خط‌مشي مشخص براي منابع الكترونيكي مطرح گرديد. برخي از تحقيقاتي كه در اين باره منتشر شده، شامل موارد زير است:</w:t>
      </w:r>
    </w:p>
    <w:p w:rsidR="00AB297B" w:rsidRPr="00AB297B" w:rsidRDefault="00AB297B" w:rsidP="00AB297B">
      <w:pPr>
        <w:spacing w:line="216" w:lineRule="auto"/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«اصنافي» (1382) در بررسي وضعيت مديريت منابع الكترونيكي در كتابخانه‌هاي دانشكده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اي دانشگاه شهيد چمران اهواز دريافت كه در مجموع،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مورد بررسي توجه چنداني به منابع الكترونيكي نداشته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 و اولويت را به منابع چاپي داده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اند و هنوز فاصله زيادي با معيارهاي مديريت منابع الكترونيكي دارند. به نظر وي، اهميت ندادن به منابع الكترونيكي سبب رشد ناكافي مجموعه منابع الكترونيكي و به تبع آن مديريت ضعيف اين منابع شده است. او پيشنهاد مي‌كند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خاص و جداگانه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اي براي مديريت منابع الكترونيكي در اين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 تهيه گردد.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lastRenderedPageBreak/>
        <w:t>«شادان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پور» (1384) توجه به نكات زير را در تهيّه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مشي‌هاي مجموعه‌گستري منابع الكترونيكي توصيه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كند: تعريف اصطلاحاتي نظير لوح فشرده، </w:t>
      </w:r>
      <w:r w:rsidRPr="00AB297B">
        <w:rPr>
          <w:rFonts w:ascii="B Nazanin" w:hAnsi="B Nazanin" w:cs="B Nazanin"/>
          <w:color w:val="000000"/>
          <w:sz w:val="22"/>
        </w:rPr>
        <w:t>DVD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>، پيوسته و نظاير آنها؛ ارتباط اين منابع با ديگر منابع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اي؛ جامعة كاربران، شرايط و قوانين استفاده، ضوابط انتخاب نرم‌افزارها و گروه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انتخاب‌كننده، محتواي اطّلاعاتي، محدودة تاريخي و جغرافيايي تحت پوشش، جاري بودن، ملاحظات سخت‌افزاري و پشتيبانيهاي فنّي، هزينه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مربوط به فراهم‌آوري منابع، سخت افزارهاي مورد نياز و كاركنان متخصّص، اجاره، اشتراك، دسترسي از طريق خدمتگر</w:t>
      </w:r>
      <w:bookmarkStart w:id="10" w:name="_ftnref11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"_ftn11"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[10]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10"/>
      <w:r w:rsidRPr="00AB297B">
        <w:rPr>
          <w:rFonts w:ascii="B Nazanin" w:hAnsi="B Nazanin" w:cs="B Nazanin"/>
          <w:color w:val="000000"/>
          <w:sz w:val="22"/>
          <w:szCs w:val="28"/>
          <w:rtl/>
        </w:rPr>
        <w:t>، بايگاني و حفاظت اين منابع، همكاريهاي منطقه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اي و بين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المللي در خصوص منابع الكترونيكي، ضوابط مربوط به حق مؤلف و سياستهاي خاص در قبال استفاده از پايگاهاي اطّلاعاتي خاص براي گروه‌هاي مختلف كاربران.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«كوهي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رستمي» (1386) در مقايسه وضعيت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مشي‌هاي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گستري بين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مركزي دانشگاه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تحت نظارت وزارت علوم، تحقيقات و فناوري و وزارت بهداشت، درمان و آموزش پزشكي دريافت كه حدود يك سوم از كتابخانه‌هاي مذكور هيچ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گونه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گستري مدوّني (مكتوب يا شفاهي) ندارند و بيش از يك سوم آنها تنها داراي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شفاهي هستند. وي يكي از مشكلات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 در به كارگيري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گستري را نبود زيرساختهاي لازم به منظور استفاده از منابع الكترونيكي گزارش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كند. يافته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او نشان داد 98% مديران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مركزي دانشگاه‌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 در هر دو وزارتخانه، تدوين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گستري منابع الكترونيكي را بسيار ضروري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‌دانند.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از ساير پژوهشهاي صورت گرفته در زمينه منابع الكترونيكي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توان به «محسني» (1382، 1385)، «ارجمند» (1383)، «ميثمي و ميرحسيني» (1385) و از پژوهشهاي صورت گرفته در مورد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سازي (و نه اختصاصاً مديريت منابع الكترونيكي)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توان به آثار «حقيقي» (1356)، «زنديان» (1372)، «علوي» (1372)، «زندي» (1373)، «زارع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پور» (1373)، «بني 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اقبال» (1373)، «امير پورسعيد» (1373)، «هاشم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زاده» (1374)، «محقق» (1375)، «سينايي» (1376)، «دياني» (1377)، «شعباني» (1377)، «سپهر» (1378)، «زارعي» (1380)، «ارجمند» (1383) و «بيگدلي» (1385) اشاره كرد.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توجه به خط مشي براي منابع الكترونيكي در غرب نيز به نوشته‌ها راه يافته است. برخي از اين آثار كه با تحقيق فعلي ارتباط و براهميّت خط مشي منابع الكترونيكي تأكيد دارند، عبارتند از: 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انجمن كتابداران آمريكا (1989) راهنمايي را براي تدوين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گستري پيشنهاد نموده كه در قسمتي از آن با عنوان </w:t>
      </w:r>
      <w:r w:rsidRPr="00AB297B">
        <w:rPr>
          <w:rStyle w:val="Emphasis"/>
          <w:rFonts w:ascii="B Nazanin" w:hAnsi="B Nazanin" w:cs="B Nazanin"/>
          <w:color w:val="000000"/>
          <w:sz w:val="22"/>
          <w:szCs w:val="28"/>
          <w:rtl/>
        </w:rPr>
        <w:t>تحليل مفصل خط‌مشي‌هاي مجموعه</w:t>
      </w:r>
      <w:r w:rsidRPr="00AB297B">
        <w:rPr>
          <w:rStyle w:val="Emphasis"/>
          <w:rFonts w:ascii="B Nazanin" w:hAnsi="B Nazanin" w:cs="B Nazanin"/>
          <w:color w:val="000000"/>
          <w:sz w:val="22"/>
          <w:szCs w:val="28"/>
          <w:rtl/>
        </w:rPr>
        <w:softHyphen/>
        <w:t>گستري بر اساس قالب،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به منابع الكترونيكي نيز اشاره شده است. «واگل» (1996) بر ضرورت لحاظ كردن منابع الكترونيكي در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گستري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 تأكيد كرد و برخي از اصولي را كه بايد در مورد اين نوع منابع مورد توجه قرار داد، مطرح نمود.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«جردن»</w:t>
      </w:r>
      <w:bookmarkStart w:id="11" w:name="_ftnref12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"_ftn12"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[11]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11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(2002) برخي از روندها و نوآوريهاي منابع الكترونيكي موجود در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 و تأثير آنها بر سياست توسعة مجموعه را بررسي كرد. وي با اشاره به تغييرات حاصل از فناوري و تأثير آن بر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سازي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 معتقد است كتابداران نيز بايد تغيير كنند و تنها همان معيارهاي سنّتي قبل را در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سازي به كار نبرند، بلكه بايد به معيارهاي ديگري چون كيفيت رابط كاربر</w:t>
      </w:r>
      <w:bookmarkStart w:id="12" w:name="_ftnref13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"_ftn13"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[12]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12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، موتور جستجو، اعتبار كارگزار و ملاحظات 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lastRenderedPageBreak/>
        <w:t>قانوني نيز توجه كنند. «جردن» نكات مهمي را كه بايد در خط‌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مديريت مجموعه منابع الكترونيكي لحاظ شوند، چنين برمي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شمارد: استفاده از يك رهنمود و استاندارد براي توسعة مجموعه كتابخانه؛ تهيه منابع رايج و موثّق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 كه داراي تازگي، صحت، ارزش تحقيقاتي و ارزش بلندمدت باشند؛ حمايت منابع تهيه شده از هدفهاي آموزشي دانشگاه و برنامه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آموزش از راه دور، ايجاد امكان دسترسي كاربران به منابع چه در داخل دانشگاه و چه در خارج از آن؛ گرفتن بازخورد از ميزان استفاده از منابع و نظرهاي كاربران در خصوص منابع تهيه شده؛ ايجاد آرشيو ديجيتالي از منابع براي دسترسي پايدار به آنان با در نظر گرفتن مالكيت معنوي و مشكلات موجود، ايجاد مركز نگهداري از منابع ديجيتالي موجود.</w:t>
      </w:r>
    </w:p>
    <w:p w:rsidR="00AB297B" w:rsidRPr="00AB297B" w:rsidRDefault="00AB297B" w:rsidP="00AB297B">
      <w:pPr>
        <w:spacing w:line="216" w:lineRule="auto"/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«سينق»</w:t>
      </w:r>
      <w:bookmarkStart w:id="13" w:name="_ftnref14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"_ftn14"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[13]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13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(2004) در مقاله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اي مباحث مربوط به مديريت مجموعه در محيط الكترونيكي را بررسي نمود. وي با اشاره به تغيير مديريت مجموعه در محيطهاي الكترونيكي و تفاوت آن با مجموعه‌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گستري سنّتي، عوامل مؤثر بر مديريت مجموعه را چنين برمي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شمارد: تحقيقات ميان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 رشته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اي، گوناگوني و تغيير نيازهاي كاربران، تنوع محملهاي اطلاعاتي به دليل پيشرفتهاي فناوري و محدوديت بودجه. به عقيدة  «سينق» اساس فعاليتهاي مديريت مجموعه شامل تحليل نياز كاربران، ارتباطات بين‌ كتابخانه‌اي يا درون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اي، گسترش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مشي، بودجه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بندي و تخصيص منابع، قراردادها، ارزيابي مجموعه، ارزيابي انتخاب، نگهداري يا وجين مجموعه، و ارزيابي سيستم است.</w:t>
      </w:r>
    </w:p>
    <w:p w:rsidR="00AB297B" w:rsidRPr="00AB297B" w:rsidRDefault="00AB297B" w:rsidP="00AB297B">
      <w:pPr>
        <w:spacing w:line="216" w:lineRule="auto"/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«ويگنو»</w:t>
      </w:r>
      <w:bookmarkStart w:id="14" w:name="_ftnref15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"_ftn15"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[14]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14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(2006) معتقد است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گستري الكترونيكي ضمن اينكه بايد منطق و ملزومات فرآيند مجموعه‌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گستري سنّتي را حفظ كند، مراحل ديگري را نيز در بر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گيرد كه عبارتند از: جمع‌آوري محتواي اطلاعاتي، ارزيابي محتواي اطلاعاتي، سازماندهي محتواي اطلاعاتي، ساختن مجموعه الكترونيكي و حفظ و نگهداري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هاي الكترونيكي. 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از ديگر پژوهشهاي صورت گرفته در اين زمينه،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توان به پژوهشهاي «جانسون»</w:t>
      </w:r>
      <w:bookmarkStart w:id="15" w:name="_ftnref16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"_ftn16"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[15]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15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(1994)، «فيوتاس»</w:t>
      </w:r>
      <w:bookmarkStart w:id="16" w:name="_ftnref17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"_ftn17"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[16]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16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(1995)، «سايمون»</w:t>
      </w:r>
      <w:bookmarkStart w:id="17" w:name="_ftnref18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"_ftn18"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[17]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17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(1996)، «كيد»</w:t>
      </w:r>
      <w:bookmarkStart w:id="18" w:name="_ftnref19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"_ftn19"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[18]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18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(1997)، «استوارت»</w:t>
      </w:r>
      <w:bookmarkStart w:id="19" w:name="_ftnref20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"_ftn20"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[19]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19"/>
      <w:r w:rsidRPr="00AB297B">
        <w:rPr>
          <w:rFonts w:ascii="B Nazanin" w:hAnsi="B Nazanin" w:cs="B Nazanin"/>
          <w:color w:val="000000"/>
          <w:sz w:val="22"/>
          <w:szCs w:val="28"/>
          <w:rtl/>
        </w:rPr>
        <w:t>، «يانگر»</w:t>
      </w:r>
      <w:bookmarkStart w:id="20" w:name="_ftnref21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"_ftn21"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[20]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20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(2002)، «ديلون»</w:t>
      </w:r>
      <w:bookmarkStart w:id="21" w:name="_ftnref22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"_ftn22"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[21]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21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(2002)، «كرو»</w:t>
      </w:r>
      <w:bookmarkStart w:id="22" w:name="_ftnref23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"_ftn23"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[22]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22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(2002)، «كورتلاينن»</w:t>
      </w:r>
      <w:bookmarkStart w:id="23" w:name="_ftnref24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"_ftn24"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[23]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23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(2004)، و «اگي»</w:t>
      </w:r>
      <w:bookmarkStart w:id="24" w:name="_ftnref25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"_ftn25"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[24]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24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(2005) اشاره كرد.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نتايج پژوهشها حاكي از آن است كه هيچ‌اجماعي در مورد اينكه كتابداران بايد يك بيانة خط‌مشي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گستري جامع تدوين نمايند يا بايد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جداگانه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اي براي منابع الكترونيكي تهيّه كنند، وجود ندارد. عده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اي عقيده دارند ارزيابي منابع الكترونيكي بايد در كنار منابع چاپي و در يك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مورد توجّه قرار گيرد. افرادي مثل «واگل» (1996)، «وايت و كرافورد» (1997)، «كارول» (1998)، و «كُوَك و الكوربي»</w:t>
      </w:r>
      <w:bookmarkStart w:id="25" w:name="_ftnref26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"_ftn26"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[25]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25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(2000) موافق اين ايده هستند. در حالي كه «هيزن»</w:t>
      </w:r>
      <w:bookmarkStart w:id="26" w:name="_ftnref27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"_ftn27"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[26]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26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(1995، ص. 22)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نويسد: «خط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مشي‌هاي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گستري سنّتي ايستا هستند و نيازهاي كتابداران امروز را برآورده نمي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كنند.» لذا،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جداگانه را ترجيح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دهد. كميته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مجموعه‌گستري</w:t>
      </w:r>
      <w:bookmarkStart w:id="27" w:name="_ftnref28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"_ftn28"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[27]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27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بخش ارزيابي و توسعه مجموعه</w:t>
      </w:r>
      <w:bookmarkStart w:id="28" w:name="_ftnref29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"_ftn29"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[28]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28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انجمن كتابداري آمريكا</w:t>
      </w:r>
      <w:bookmarkStart w:id="29" w:name="_ftnref30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"_ftn30"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[29]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29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بيان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كند: «خط‌مشي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گستري سنّتي بر مالكّيت مواد متكّي هستند. به واسطة فناوريهاي اطلاعاتي در حال تغيير،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 بيشتر به دسترسي به اطّلاعات از طريق فروشندگان تجاري و برنامه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تجاري روي خواهند آورد و كمتر قادر خواهند بود مواد را فراهم‌آوري و ذخيره</w:t>
      </w:r>
      <w:r w:rsidRPr="00AB297B">
        <w:rPr>
          <w:rFonts w:ascii="B Nazanin" w:hAnsi="B Nazanin" w:cs="B Nazanin"/>
          <w:color w:val="000000"/>
          <w:sz w:val="22"/>
          <w:szCs w:val="28"/>
        </w:rPr>
        <w:t>‌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>سازي كنند» (به نقل از وايت و كرافورد، 1997، ص. 52).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lastRenderedPageBreak/>
        <w:softHyphen/>
        <w:t>اما به نظر «اوانز»، در خصوص منابع الكترونيكي دو شيوه متفاوت را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توان در پيش گرفت: 1) آنها را در فهرست ساير انواع منابع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اي بگنجانيم و ويژگيها و سطح فراهم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آوري خاص آنها را ارائه كنيم 2) به دليل تفاوتهايي كه اين منابع با ساير انواع منابع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اي دارند و تغييرات فراوان روزمرّه در وب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سايتها و پايگاه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اينترنتي،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مجزايي براي اين منابع تهيّه كنيم. اين كار، هم از پيچيده شدن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جلوگيري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كند و هم به دليل ضرورت بازنگريهاي مكرر، بافت اصلي خط‌مشي برهم نمي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خورد (اوانز، 2000 ، ص. 84).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 </w:t>
      </w:r>
    </w:p>
    <w:p w:rsidR="00AB297B" w:rsidRPr="00AB297B" w:rsidRDefault="00AB297B" w:rsidP="00AB297B">
      <w:pPr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28"/>
          <w:rtl/>
        </w:rPr>
        <w:t>روش</w:t>
      </w:r>
      <w:r w:rsidRPr="00AB297B">
        <w:rPr>
          <w:rStyle w:val="Strong"/>
          <w:rFonts w:ascii="B Nazanin" w:hAnsi="B Nazanin" w:cs="B Nazanin"/>
          <w:color w:val="000000"/>
          <w:sz w:val="22"/>
          <w:szCs w:val="28"/>
          <w:rtl/>
        </w:rPr>
        <w:softHyphen/>
        <w:t>شناسي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اين پژوهش، پيمايشي و از نوع كيفي ـ كاربردي است و مي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توان از يافته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 و نتايج آن جهت طراحي و بهبود كيفيت مديريت مجموعه منابع الكترونيكي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 xml:space="preserve">هاي دانشگاهي از طريق ارائه الگوي پيشنهادي براي آنها استفاده كرد. 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جامعة پژوهش، 121 كتابخانه مركزي دانشگاهي است كه از اين تعداد، 79 كتابخانه تحت نظارت وزارت علوم، تحقيقات و فناوري و 42 كتابخانه تحت نظارت وزارت بهداشت، درمان و آموزش پزشكي قرار دارند. 9 كتابخانه به دلايل مختلف از جامعه مورد مطالعه خارج شدند: 2 مورد (دانشگاه‌هاي ملاير و بجنورد) به دليل نداشتن منابع الكترونيكي و 7 مورد (دانشگاه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صنعتي مالك اشتر اصفهان، صنعتي مالك اشتر تهران، صنعتي بيرجند، علوم پزشكي ارتش، علوم پزشكي بقية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الله، علوم پزشكي همدان، و هنر تهران) نيز به دليل سياست خاص دانشگاه خود مبني بر پاسخ ندادن به پرسشنامه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ها، از جامعه آماري حذف شدند. بدين ترتيب، جامعه آماري مورد بررسي 112 كتابخانه مركزي دانشگاهي ايران را شامل مي‌شود كه از آنها در مورد ويژگيها و عناصر مهم در الگوي مديريت منابع الكترونيكي مناسب براي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 xml:space="preserve">هاي دانشگاهي ايران، نظرسنجي شد. 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ابزار پ‍ژوهش، پرسشنامه محقق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ساخته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اي با  113 سؤال بسته (طيف ليكرت</w:t>
      </w:r>
      <w:bookmarkStart w:id="30" w:name="_ftnref31"/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instrText>HYPERLINK "http://www.aqlibrary.org/modules/FCKEditor/pnincludes/editor/fckeditor.html?InstanceName=desc&amp;Toolbar=Default" \l "_ftn31" \o</w:instrTex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[30]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end"/>
      </w:r>
      <w:bookmarkEnd w:id="30"/>
      <w:r w:rsidRPr="00AB297B">
        <w:rPr>
          <w:rFonts w:ascii="B Nazanin" w:hAnsi="B Nazanin" w:cs="B Nazanin"/>
          <w:color w:val="000000"/>
          <w:sz w:val="22"/>
          <w:szCs w:val="18"/>
          <w:rtl/>
        </w:rPr>
        <w:t>) و 9 سؤال باز است كه به روش وب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سنجي و از طريق تحليل محتوايي خط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مشي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 و الگوهاي موجود در 126 وب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سايت دانشگاه جهان، تهيه شده است. جهت روايي پرسشنامه، از روايي محتوايي (صوري)، و جهت پايايي پرسشنامه از ضريب پايايي آلفاي كرونباخ استفاده شد. ضريب به دست آمده 92/0است كه نشان مي‌دهد پرسشنامه، همساني دروني و پايايي لازم را داراست. از كل پرسشنامه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ها، 79 پرسشنامه (54/70%) بازگشت داده شد كه تجزيه و تحليلهاي لازم روي آنها صورت گرفت. در اين پژوهش، از آمار توصيفي فراواني و درصد فراواني براي داده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مربوط به اطلاعات جمعيت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شناختي، از ميانگين و انحراف معيار نيز براي شاخص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 xml:space="preserve"> آماري عاملهاي 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گانه پرسشنامه استفاده شد. از آمار استنباطي نيز به شرح ذيل استفاده گرديد. از تحليل عوامل</w:t>
      </w:r>
      <w:bookmarkStart w:id="31" w:name="_ftnref32"/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instrText>HYPERLINK "http://www.aqlibrary.org/modules/FCKEditor/pnincludes/editor/fckeditor.html?InstanceName=desc&amp;Toolbar=Default" \l "_ftn32" \o</w:instrTex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separate"/>
      </w:r>
      <w:r w:rsidRPr="00AB297B">
        <w:rPr>
          <w:rStyle w:val="Strong"/>
          <w:rFonts w:ascii="B Nazanin" w:hAnsi="B Nazanin" w:cs="B Nazanin"/>
          <w:color w:val="0066CC"/>
          <w:sz w:val="22"/>
        </w:rPr>
        <w:t>[31]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end"/>
      </w:r>
      <w:bookmarkEnd w:id="31"/>
      <w:r w:rsidRPr="00AB297B">
        <w:rPr>
          <w:rFonts w:ascii="B Nazanin" w:hAnsi="B Nazanin" w:cs="B Nazanin"/>
          <w:color w:val="000000"/>
          <w:sz w:val="22"/>
          <w:szCs w:val="18"/>
          <w:rtl/>
        </w:rPr>
        <w:t xml:space="preserve"> براي شناسايي عوامل مهم موجود در پرسشنامه (عناصر اصلي يك خط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مشي)؛ آلفاي كرونباخ جهت پايايي پرسشنامه و آزمون غيرپارامتريك فريدمن</w:t>
      </w:r>
      <w:bookmarkStart w:id="32" w:name="_ftnref33"/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instrText>HYPERLINK "http://www.aqlibrary.org/modules/FCKEditor/pnincludes/editor/fckeditor.html?InstanceName=desc&amp;Toolbar=Default" \l "_ftn33" \o</w:instrTex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[32]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end"/>
      </w:r>
      <w:bookmarkEnd w:id="32"/>
      <w:r w:rsidRPr="00AB297B">
        <w:rPr>
          <w:rFonts w:ascii="B Nazanin" w:hAnsi="B Nazanin" w:cs="B Nazanin"/>
          <w:color w:val="000000"/>
          <w:sz w:val="22"/>
          <w:szCs w:val="18"/>
          <w:rtl/>
        </w:rPr>
        <w:t xml:space="preserve"> براي بررسي تفاوتهاي مشاهده شده در عاملها، استفاده شد. </w:t>
      </w:r>
    </w:p>
    <w:p w:rsidR="00AB297B" w:rsidRPr="00AB297B" w:rsidRDefault="00AB297B" w:rsidP="00AB297B">
      <w:pPr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t> </w:t>
      </w:r>
    </w:p>
    <w:p w:rsidR="00AB297B" w:rsidRPr="00AB297B" w:rsidRDefault="00AB297B" w:rsidP="00AB297B">
      <w:pPr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t> </w:t>
      </w:r>
    </w:p>
    <w:p w:rsidR="00AB297B" w:rsidRPr="00AB297B" w:rsidRDefault="00AB297B" w:rsidP="00AB297B">
      <w:pPr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28"/>
          <w:rtl/>
        </w:rPr>
        <w:t>يافته</w:t>
      </w:r>
      <w:r w:rsidRPr="00AB297B">
        <w:rPr>
          <w:rStyle w:val="Strong"/>
          <w:rFonts w:ascii="B Nazanin" w:hAnsi="B Nazanin" w:cs="B Nazanin"/>
          <w:color w:val="000000"/>
          <w:sz w:val="22"/>
          <w:szCs w:val="28"/>
          <w:rtl/>
        </w:rPr>
        <w:softHyphen/>
        <w:t>ها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جدول 1، اطلاعات جمعيت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شناختي جامعه پژوهش را نشان مي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دهد. در مجموع، 79 نفر به پرسشنامه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 پاسخ داده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اند كه از اين تعداد، 56 نفر (9/70%) مرد و 23 نفر (1/29%) زن هستند. 47 نفر (5/59%) از پاسخ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دهندگان از دانشگاه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زير پوشش وزارت علوم و 32 نفر (5/40%) از دانشگاه‌هاي زير پوشش وزارت بهداشت مي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باشند.</w:t>
      </w:r>
    </w:p>
    <w:p w:rsidR="00AB297B" w:rsidRPr="00AB297B" w:rsidRDefault="00AB297B" w:rsidP="00AB297B">
      <w:pPr>
        <w:jc w:val="center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t>جدول 1. اطلاعات جمعيت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شناختي مديران كتابخانه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هاي مركزي دانشگاه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هاي دولتي ايران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30"/>
        <w:gridCol w:w="599"/>
        <w:gridCol w:w="930"/>
        <w:gridCol w:w="858"/>
        <w:gridCol w:w="579"/>
        <w:gridCol w:w="815"/>
        <w:gridCol w:w="755"/>
        <w:gridCol w:w="567"/>
        <w:gridCol w:w="714"/>
        <w:gridCol w:w="511"/>
        <w:gridCol w:w="567"/>
        <w:gridCol w:w="556"/>
      </w:tblGrid>
      <w:tr w:rsidR="00AB297B" w:rsidRPr="00AB297B">
        <w:trPr>
          <w:cantSplit/>
          <w:trHeight w:val="340"/>
          <w:jc w:val="center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rtl/>
              </w:rPr>
              <w:t>تعداد</w:t>
            </w:r>
          </w:p>
        </w:tc>
        <w:tc>
          <w:tcPr>
            <w:tcW w:w="2131" w:type="dxa"/>
            <w:gridSpan w:val="4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rtl/>
              </w:rPr>
              <w:t>مدرك تحصيلي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rtl/>
              </w:rPr>
              <w:t>رشتة تحصيلي</w:t>
            </w:r>
          </w:p>
        </w:tc>
        <w:tc>
          <w:tcPr>
            <w:tcW w:w="1718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rtl/>
              </w:rPr>
              <w:t>سابقه كار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rtl/>
              </w:rPr>
              <w:t>سابقه مديريت</w:t>
            </w:r>
          </w:p>
        </w:tc>
      </w:tr>
      <w:tr w:rsidR="00AB297B" w:rsidRPr="00AB297B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97B" w:rsidRPr="00AB297B" w:rsidRDefault="00AB297B" w:rsidP="00AB297B">
            <w:pPr>
              <w:rPr>
                <w:rFonts w:ascii="B Nazanin" w:hAnsi="B Nazanin" w:cs="B Nazanin"/>
                <w:color w:val="333333"/>
                <w:sz w:val="22"/>
                <w:szCs w:val="18"/>
              </w:rPr>
            </w:pPr>
          </w:p>
        </w:tc>
        <w:tc>
          <w:tcPr>
            <w:tcW w:w="47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rtl/>
              </w:rPr>
              <w:t>ديپلم</w:t>
            </w:r>
          </w:p>
        </w:tc>
        <w:tc>
          <w:tcPr>
            <w:tcW w:w="5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rtl/>
              </w:rPr>
              <w:t>كارشناسي</w:t>
            </w:r>
          </w:p>
        </w:tc>
        <w:tc>
          <w:tcPr>
            <w:tcW w:w="5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كارشناسي ارشد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rtl/>
              </w:rPr>
              <w:t>دكترا</w:t>
            </w:r>
          </w:p>
        </w:tc>
        <w:tc>
          <w:tcPr>
            <w:tcW w:w="6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rtl/>
              </w:rPr>
              <w:t>كتابداري</w:t>
            </w:r>
          </w:p>
        </w:tc>
        <w:tc>
          <w:tcPr>
            <w:tcW w:w="6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غير كتابداري</w:t>
            </w:r>
          </w:p>
        </w:tc>
        <w:tc>
          <w:tcPr>
            <w:tcW w:w="5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rtl/>
              </w:rPr>
              <w:t>1- 10 سال</w:t>
            </w:r>
          </w:p>
        </w:tc>
        <w:tc>
          <w:tcPr>
            <w:tcW w:w="7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rtl/>
              </w:rPr>
              <w:t>11- 20 سال</w:t>
            </w:r>
          </w:p>
        </w:tc>
        <w:tc>
          <w:tcPr>
            <w:tcW w:w="43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rtl/>
              </w:rPr>
              <w:t>21- 30 سال</w:t>
            </w:r>
          </w:p>
        </w:tc>
        <w:tc>
          <w:tcPr>
            <w:tcW w:w="5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rtl/>
              </w:rPr>
              <w:t>1- 10 سال</w:t>
            </w:r>
          </w:p>
        </w:tc>
        <w:tc>
          <w:tcPr>
            <w:tcW w:w="5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rtl/>
              </w:rPr>
              <w:t>11- 20 سال</w:t>
            </w:r>
          </w:p>
        </w:tc>
      </w:tr>
      <w:tr w:rsidR="00AB297B" w:rsidRPr="00AB297B">
        <w:trPr>
          <w:jc w:val="center"/>
        </w:trPr>
        <w:tc>
          <w:tcPr>
            <w:tcW w:w="7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فراواني</w:t>
            </w:r>
          </w:p>
        </w:tc>
        <w:tc>
          <w:tcPr>
            <w:tcW w:w="47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2</w:t>
            </w:r>
          </w:p>
        </w:tc>
        <w:tc>
          <w:tcPr>
            <w:tcW w:w="5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15</w:t>
            </w:r>
          </w:p>
        </w:tc>
        <w:tc>
          <w:tcPr>
            <w:tcW w:w="5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31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31</w:t>
            </w:r>
          </w:p>
        </w:tc>
        <w:tc>
          <w:tcPr>
            <w:tcW w:w="6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41</w:t>
            </w:r>
          </w:p>
        </w:tc>
        <w:tc>
          <w:tcPr>
            <w:tcW w:w="6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38</w:t>
            </w:r>
          </w:p>
        </w:tc>
        <w:tc>
          <w:tcPr>
            <w:tcW w:w="5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57</w:t>
            </w:r>
          </w:p>
        </w:tc>
        <w:tc>
          <w:tcPr>
            <w:tcW w:w="7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17</w:t>
            </w:r>
          </w:p>
        </w:tc>
        <w:tc>
          <w:tcPr>
            <w:tcW w:w="43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5</w:t>
            </w:r>
          </w:p>
        </w:tc>
        <w:tc>
          <w:tcPr>
            <w:tcW w:w="5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71</w:t>
            </w:r>
          </w:p>
        </w:tc>
        <w:tc>
          <w:tcPr>
            <w:tcW w:w="5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8</w:t>
            </w:r>
          </w:p>
        </w:tc>
      </w:tr>
      <w:tr w:rsidR="00AB297B" w:rsidRPr="00AB297B">
        <w:trPr>
          <w:jc w:val="center"/>
        </w:trPr>
        <w:tc>
          <w:tcPr>
            <w:tcW w:w="73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درصد</w:t>
            </w:r>
          </w:p>
        </w:tc>
        <w:tc>
          <w:tcPr>
            <w:tcW w:w="47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5/2</w:t>
            </w:r>
          </w:p>
        </w:tc>
        <w:tc>
          <w:tcPr>
            <w:tcW w:w="53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19</w:t>
            </w:r>
          </w:p>
        </w:tc>
        <w:tc>
          <w:tcPr>
            <w:tcW w:w="5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2/39</w:t>
            </w:r>
          </w:p>
        </w:tc>
        <w:tc>
          <w:tcPr>
            <w:tcW w:w="53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2/39</w:t>
            </w:r>
          </w:p>
        </w:tc>
        <w:tc>
          <w:tcPr>
            <w:tcW w:w="6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9/51</w:t>
            </w:r>
          </w:p>
        </w:tc>
        <w:tc>
          <w:tcPr>
            <w:tcW w:w="6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1/40</w:t>
            </w:r>
          </w:p>
        </w:tc>
        <w:tc>
          <w:tcPr>
            <w:tcW w:w="5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2/72</w:t>
            </w:r>
          </w:p>
        </w:tc>
        <w:tc>
          <w:tcPr>
            <w:tcW w:w="7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51/21</w:t>
            </w:r>
          </w:p>
        </w:tc>
        <w:tc>
          <w:tcPr>
            <w:tcW w:w="43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3/6</w:t>
            </w:r>
          </w:p>
        </w:tc>
        <w:tc>
          <w:tcPr>
            <w:tcW w:w="5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9/89</w:t>
            </w:r>
          </w:p>
        </w:tc>
        <w:tc>
          <w:tcPr>
            <w:tcW w:w="55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1/10</w:t>
            </w:r>
          </w:p>
        </w:tc>
      </w:tr>
    </w:tbl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 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همان‌گونه كه در جدول 1 آمده است، 5/97% پاسخ‌دهندگان داراي مدرك كارشناسي و بالاتر هستند. اين مورد بر افزايش اعتبار پاسخهاي ارائه شده مؤثر بوده است. 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به منظور روشن شدن وضعيت فعلي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سازي و مديريت منابع الكترونيكي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مورد بررسي، تعدادي پرسش فرعي مطرح شده بود. از 79 پاسخ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دهنده به سؤال «آيا كتابخانه شما داراي خط‌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مشي 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lastRenderedPageBreak/>
        <w:t>مشخصي براي مديريت مجموعه است؟» 53 نفر (1/67%) پاسخ بلي و 26 نفر (9/32%) پاسخ خير داده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اند. در پاسخ به اين سؤال كه «آيا كتابخانه شما داراي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مشخصي براي مديريت مجموعه منابع الكترونيكي است؟» 43 نفر (4/54%) شركت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كننده، پاسخ «بلي» و 36 نفر (6/45%) پاسخ «خير» داده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اند. در ادامة اين پرسش، پژوهشگر از مديران خواهش كرده بود در صورت داشتن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مشي، نسخه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اي از آن را براي وي ارسال كنند. هيچ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يك از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ياد شده، به اين خواهش ترتيب اثر ندادند. بنابراين، پژوهشگر موفق نشد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‌مشي‌هاي فعلي موجود در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مركزي دانشگاه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دولتي ايران را بررسي كند.</w:t>
      </w:r>
    </w:p>
    <w:p w:rsidR="00AB297B" w:rsidRPr="00AB297B" w:rsidRDefault="00AB297B" w:rsidP="00AB297B">
      <w:pPr>
        <w:spacing w:line="216" w:lineRule="auto"/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به منظور پاسخ به پرسش اصلي پژوهش كه «از نظر مديران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مركزي دانشگاه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دولتي ايران، كدام ويژگيها و عناصر الگوهاي مديريت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دانشگاهي جهان براي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‌هاي دانشگاهي ايران مناسب و لازم هستند؟»، ويژگيهاي مذكور در اختيار آنان قرار داده شد.</w:t>
      </w:r>
    </w:p>
    <w:p w:rsidR="00AB297B" w:rsidRPr="00AB297B" w:rsidRDefault="00AB297B" w:rsidP="00AB297B">
      <w:pPr>
        <w:spacing w:line="216" w:lineRule="auto"/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در تحليل محتواي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مديريت منابع الكترونيكي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جهان، 14 مورد به عنوان رئوس مطالب يك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منابع الكترونيكي شناسايي شد (جدول 2).اين 14 عامل در اختيار مديران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مورد بررسي قرار داده شد. يافته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 نشان داد از نظر مديران ياد شده، تمامي عوامل فوق به عنوان فهرست مندرجات پيشنهادي براي تدوين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مشي مديريت مجموعه منابع الكترونيكي، داراي اهميت «زياد» و «خيلي زياد» هستند (جدول 2). 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ابتدا جهت بررسي اولويت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بندي رئوس مطالب از نظر شركت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كنندگان، از آمار غيرپارامتريك فريدمن استفاده شد. نتيجة آزمون غيرپارامتريك فريدمن نشان داد بين رئوس مطالب يا فهرست مندرجات پيشنهادي براي تدوين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مديريت مجموعه منابع الكترونيكي، تفاوت معنا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دار آماري ديده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شود (29/79=،    001/0 &gt;</w:t>
      </w:r>
      <w:r w:rsidRPr="00AB297B">
        <w:rPr>
          <w:rFonts w:ascii="B Nazanin" w:hAnsi="B Nazanin" w:cs="B Nazanin"/>
          <w:color w:val="000000"/>
          <w:sz w:val="22"/>
          <w:szCs w:val="28"/>
        </w:rPr>
        <w:t>p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>). به عبارت ديگر، اولويت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بندي رئوس مطالب از نظر پاسخگويان (مديران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مركزي دانشگاه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دولتي ايران) متفاوت است. ميانگين رتبه‌ها به ترتيب در رئوس مطالب يا فهرست مندرجات بر اساس اهميت، از نظر پاسخگويان عبارتند از: بودجه و مسائل مالي (21/9=)، ارزيابي به منظور انتخاب يا عدم انتخاب منابع الكترونيكي (76/8=)، مسائل مربوط به كاربران (32/8=)، مسائل مربوط به دسترسي (24/8=)، مسائل مربوط به آرشيو، نگهداري و امنيت (94/7=)، مجوزها و قراردادها (77/7=)، ديجيتال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سازي (63/7=مقدمه، فلسفه و هدفها (59/7=)، مسائل مربوط به فراهم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آوري (20/7=)، دامنه و تعريفهاي مربوط به انواع منابع الكترونيكي (02/7=)، نسخه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برداري و تكثير (49/6=)، اجرا و بازنگري در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مشي (38/6=)، مباحث فني (32/6=) و مباحث مديريت اجرايي (16/6=). </w:t>
      </w:r>
    </w:p>
    <w:p w:rsidR="00AB297B" w:rsidRPr="00AB297B" w:rsidRDefault="00AB297B" w:rsidP="00AB297B">
      <w:pPr>
        <w:jc w:val="center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t>جدول2. فراواني و درصد فراواني ميزان اهميت وجود عوامل ضروري در تدوين خط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مشي مديريت مجموعه منابع الكترونيكي، از ديدگاه مديران كتابخانه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هاي مركزي دانشگاه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هاي دولتي ايران</w:t>
      </w:r>
    </w:p>
    <w:tbl>
      <w:tblPr>
        <w:bidiVisual/>
        <w:tblW w:w="0" w:type="auto"/>
        <w:jc w:val="center"/>
        <w:tblInd w:w="714" w:type="dxa"/>
        <w:tblCellMar>
          <w:left w:w="0" w:type="dxa"/>
          <w:right w:w="0" w:type="dxa"/>
        </w:tblCellMar>
        <w:tblLook w:val="04A0"/>
      </w:tblPr>
      <w:tblGrid>
        <w:gridCol w:w="574"/>
        <w:gridCol w:w="651"/>
        <w:gridCol w:w="574"/>
        <w:gridCol w:w="651"/>
        <w:gridCol w:w="574"/>
        <w:gridCol w:w="651"/>
        <w:gridCol w:w="574"/>
        <w:gridCol w:w="651"/>
        <w:gridCol w:w="574"/>
        <w:gridCol w:w="651"/>
        <w:gridCol w:w="2503"/>
      </w:tblGrid>
      <w:tr w:rsidR="00AB297B" w:rsidRPr="00AB297B">
        <w:trPr>
          <w:trHeight w:val="340"/>
          <w:jc w:val="center"/>
        </w:trPr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خيلي زياد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زياد</w:t>
            </w:r>
          </w:p>
        </w:tc>
        <w:tc>
          <w:tcPr>
            <w:tcW w:w="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متوسط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كم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خيلي كم</w:t>
            </w:r>
          </w:p>
        </w:tc>
        <w:tc>
          <w:tcPr>
            <w:tcW w:w="2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رئوس مطالب يك خط</w:t>
            </w: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softHyphen/>
              <w:t>مشي</w:t>
            </w:r>
          </w:p>
        </w:tc>
      </w:tr>
      <w:tr w:rsidR="00AB297B" w:rsidRPr="00AB297B">
        <w:trPr>
          <w:cantSplit/>
          <w:trHeight w:val="925"/>
          <w:jc w:val="center"/>
        </w:trPr>
        <w:tc>
          <w:tcPr>
            <w:tcW w:w="5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درصد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فراواني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درصد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فراواني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درصد</w:t>
            </w:r>
          </w:p>
        </w:tc>
        <w:tc>
          <w:tcPr>
            <w:tcW w:w="4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فراواني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درصد</w:t>
            </w:r>
          </w:p>
        </w:tc>
        <w:tc>
          <w:tcPr>
            <w:tcW w:w="4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فراواني</w:t>
            </w:r>
          </w:p>
        </w:tc>
        <w:tc>
          <w:tcPr>
            <w:tcW w:w="4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درصد</w:t>
            </w:r>
          </w:p>
        </w:tc>
        <w:tc>
          <w:tcPr>
            <w:tcW w:w="35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فراواني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outset" w:sz="6" w:space="0" w:color="ECE9D8"/>
            </w:tcBorders>
            <w:vAlign w:val="center"/>
            <w:hideMark/>
          </w:tcPr>
          <w:p w:rsidR="00AB297B" w:rsidRPr="00AB297B" w:rsidRDefault="00AB297B" w:rsidP="00AB297B">
            <w:pPr>
              <w:rPr>
                <w:rFonts w:ascii="B Nazanin" w:hAnsi="B Nazanin" w:cs="B Nazanin"/>
                <w:color w:val="333333"/>
                <w:sz w:val="22"/>
                <w:szCs w:val="18"/>
              </w:rPr>
            </w:pPr>
          </w:p>
        </w:tc>
      </w:tr>
      <w:tr w:rsidR="00AB297B" w:rsidRPr="00AB297B">
        <w:trPr>
          <w:trHeight w:val="340"/>
          <w:jc w:val="center"/>
        </w:trPr>
        <w:tc>
          <w:tcPr>
            <w:tcW w:w="5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5/40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32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6/45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36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7/12</w:t>
            </w:r>
          </w:p>
        </w:tc>
        <w:tc>
          <w:tcPr>
            <w:tcW w:w="4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10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3/1</w:t>
            </w:r>
          </w:p>
        </w:tc>
        <w:tc>
          <w:tcPr>
            <w:tcW w:w="4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</w:t>
            </w:r>
          </w:p>
        </w:tc>
        <w:tc>
          <w:tcPr>
            <w:tcW w:w="4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35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2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مقدمه، فلسفه و هدفها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5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2/34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27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1/48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38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4/11</w:t>
            </w:r>
          </w:p>
        </w:tc>
        <w:tc>
          <w:tcPr>
            <w:tcW w:w="4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9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3/6</w:t>
            </w:r>
          </w:p>
        </w:tc>
        <w:tc>
          <w:tcPr>
            <w:tcW w:w="4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</w:t>
            </w:r>
          </w:p>
        </w:tc>
        <w:tc>
          <w:tcPr>
            <w:tcW w:w="4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35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2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دامنه و تعريفهاي مربوط به انواع منابع الكترونيكي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5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5/59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47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1/29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23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9/8</w:t>
            </w:r>
          </w:p>
        </w:tc>
        <w:tc>
          <w:tcPr>
            <w:tcW w:w="4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7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3/1</w:t>
            </w:r>
          </w:p>
        </w:tc>
        <w:tc>
          <w:tcPr>
            <w:tcW w:w="4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</w:t>
            </w:r>
          </w:p>
        </w:tc>
        <w:tc>
          <w:tcPr>
            <w:tcW w:w="4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3/1</w:t>
            </w:r>
          </w:p>
        </w:tc>
        <w:tc>
          <w:tcPr>
            <w:tcW w:w="35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</w:t>
            </w:r>
          </w:p>
        </w:tc>
        <w:tc>
          <w:tcPr>
            <w:tcW w:w="2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ارزيابي جهت انتخاب يا عدم انتخاب منابع الكترونيكي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5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lastRenderedPageBreak/>
              <w:t>4/49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39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43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34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3/6</w:t>
            </w:r>
          </w:p>
        </w:tc>
        <w:tc>
          <w:tcPr>
            <w:tcW w:w="4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4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4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3/1</w:t>
            </w:r>
          </w:p>
        </w:tc>
        <w:tc>
          <w:tcPr>
            <w:tcW w:w="35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</w:t>
            </w:r>
          </w:p>
        </w:tc>
        <w:tc>
          <w:tcPr>
            <w:tcW w:w="2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مسائل مربوط به دسترسي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5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7/36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29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2/39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31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5/16</w:t>
            </w:r>
          </w:p>
        </w:tc>
        <w:tc>
          <w:tcPr>
            <w:tcW w:w="4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13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1/5</w:t>
            </w:r>
          </w:p>
        </w:tc>
        <w:tc>
          <w:tcPr>
            <w:tcW w:w="4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</w:t>
            </w:r>
          </w:p>
        </w:tc>
        <w:tc>
          <w:tcPr>
            <w:tcW w:w="4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5/2</w:t>
            </w:r>
          </w:p>
        </w:tc>
        <w:tc>
          <w:tcPr>
            <w:tcW w:w="35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</w:t>
            </w:r>
          </w:p>
        </w:tc>
        <w:tc>
          <w:tcPr>
            <w:tcW w:w="2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نسخه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softHyphen/>
              <w:t>برداري و تكثير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5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8/46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37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5/40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32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1/10</w:t>
            </w:r>
          </w:p>
        </w:tc>
        <w:tc>
          <w:tcPr>
            <w:tcW w:w="4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8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4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4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5/2</w:t>
            </w:r>
          </w:p>
        </w:tc>
        <w:tc>
          <w:tcPr>
            <w:tcW w:w="35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</w:t>
            </w:r>
          </w:p>
        </w:tc>
        <w:tc>
          <w:tcPr>
            <w:tcW w:w="2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مسائل مربوط به آرشيو، نگهداري و امنيت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5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3/44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35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8/41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33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4/11</w:t>
            </w:r>
          </w:p>
        </w:tc>
        <w:tc>
          <w:tcPr>
            <w:tcW w:w="4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9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3/1</w:t>
            </w:r>
          </w:p>
        </w:tc>
        <w:tc>
          <w:tcPr>
            <w:tcW w:w="4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</w:t>
            </w:r>
          </w:p>
        </w:tc>
        <w:tc>
          <w:tcPr>
            <w:tcW w:w="4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3/1</w:t>
            </w:r>
          </w:p>
        </w:tc>
        <w:tc>
          <w:tcPr>
            <w:tcW w:w="35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</w:t>
            </w:r>
          </w:p>
        </w:tc>
        <w:tc>
          <w:tcPr>
            <w:tcW w:w="2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ديجيتال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softHyphen/>
              <w:t>سازي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5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38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30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6/45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36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2/15</w:t>
            </w:r>
          </w:p>
        </w:tc>
        <w:tc>
          <w:tcPr>
            <w:tcW w:w="4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12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3/1</w:t>
            </w:r>
          </w:p>
        </w:tc>
        <w:tc>
          <w:tcPr>
            <w:tcW w:w="4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</w:t>
            </w:r>
          </w:p>
        </w:tc>
        <w:tc>
          <w:tcPr>
            <w:tcW w:w="4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35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2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مسائل مربوط به فراهم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softHyphen/>
              <w:t>آوري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5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4/49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39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5/40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32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1/10</w:t>
            </w:r>
          </w:p>
        </w:tc>
        <w:tc>
          <w:tcPr>
            <w:tcW w:w="4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8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4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4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35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2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مسائل مربوط به كاربران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5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6/64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51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6/26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21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3/6</w:t>
            </w:r>
          </w:p>
        </w:tc>
        <w:tc>
          <w:tcPr>
            <w:tcW w:w="4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5/2</w:t>
            </w:r>
          </w:p>
        </w:tc>
        <w:tc>
          <w:tcPr>
            <w:tcW w:w="4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</w:t>
            </w:r>
          </w:p>
        </w:tc>
        <w:tc>
          <w:tcPr>
            <w:tcW w:w="4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35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2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بودجه و مسائل مالي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5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8/46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37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38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30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7/12</w:t>
            </w:r>
          </w:p>
        </w:tc>
        <w:tc>
          <w:tcPr>
            <w:tcW w:w="4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10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5/2</w:t>
            </w:r>
          </w:p>
        </w:tc>
        <w:tc>
          <w:tcPr>
            <w:tcW w:w="4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</w:t>
            </w:r>
          </w:p>
        </w:tc>
        <w:tc>
          <w:tcPr>
            <w:tcW w:w="4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35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2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مجوزها و قراردادها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5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8/27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22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1/48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38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19</w:t>
            </w:r>
          </w:p>
        </w:tc>
        <w:tc>
          <w:tcPr>
            <w:tcW w:w="4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15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8/3</w:t>
            </w:r>
          </w:p>
        </w:tc>
        <w:tc>
          <w:tcPr>
            <w:tcW w:w="4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3-</w:t>
            </w:r>
          </w:p>
        </w:tc>
        <w:tc>
          <w:tcPr>
            <w:tcW w:w="4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3/1</w:t>
            </w:r>
          </w:p>
        </w:tc>
        <w:tc>
          <w:tcPr>
            <w:tcW w:w="35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</w:t>
            </w:r>
          </w:p>
        </w:tc>
        <w:tc>
          <w:tcPr>
            <w:tcW w:w="2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مباحث فني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5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4/30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24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3/44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35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8/22</w:t>
            </w:r>
          </w:p>
        </w:tc>
        <w:tc>
          <w:tcPr>
            <w:tcW w:w="4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18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4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4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5/2</w:t>
            </w:r>
          </w:p>
        </w:tc>
        <w:tc>
          <w:tcPr>
            <w:tcW w:w="35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</w:t>
            </w:r>
          </w:p>
        </w:tc>
        <w:tc>
          <w:tcPr>
            <w:tcW w:w="2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مباحث مديريت اجرايي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56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6/26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21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4/54</w:t>
            </w:r>
          </w:p>
        </w:tc>
        <w:tc>
          <w:tcPr>
            <w:tcW w:w="42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43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5/16</w:t>
            </w:r>
          </w:p>
        </w:tc>
        <w:tc>
          <w:tcPr>
            <w:tcW w:w="40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13</w:t>
            </w:r>
          </w:p>
        </w:tc>
        <w:tc>
          <w:tcPr>
            <w:tcW w:w="56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5/2</w:t>
            </w:r>
          </w:p>
        </w:tc>
        <w:tc>
          <w:tcPr>
            <w:tcW w:w="4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</w:t>
            </w:r>
          </w:p>
        </w:tc>
        <w:tc>
          <w:tcPr>
            <w:tcW w:w="46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35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250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16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اجرا و بازنگري خط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softHyphen/>
              <w:t>مشي</w:t>
            </w:r>
          </w:p>
        </w:tc>
      </w:tr>
    </w:tbl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در مرحلة بعد، تمامي پاسخهاي مربوط به جزئيات هر ماده و زيرمجموعه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 به روش تحليل عامل، دسته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بندي شد (عصاره، 2003). براي تحليل عاملي پرسشنامه، ابتدا از روش تحليل مؤلفه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اصلي</w:t>
      </w:r>
      <w:bookmarkStart w:id="33" w:name="_ftnref34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"_ftn34"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[33]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33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استفاده گرديد. سپس براي تشخيص عامل يا عاملهاي بنيادي كه پاية پرسشنامه و به تبع آن نظر مديران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مركزي دانشگاه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دولتي ايران را شكل مي‌دهند، از روش چرخش واريماكس</w:t>
      </w:r>
      <w:bookmarkStart w:id="34" w:name="_ftnref35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"_ftn35"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[34]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34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استفاده شد. با استفاده از چرخش متعامد</w:t>
      </w:r>
      <w:bookmarkStart w:id="35" w:name="_ftnref36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"_ftn36"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[35]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35"/>
      <w:r w:rsidRPr="00AB297B">
        <w:rPr>
          <w:rFonts w:ascii="B Nazanin" w:hAnsi="B Nazanin" w:cs="B Nazanin"/>
          <w:color w:val="000000"/>
          <w:sz w:val="22"/>
          <w:szCs w:val="28"/>
          <w:rtl/>
        </w:rPr>
        <w:t>، 9 عامل استخراج گرديد كه اين عاملها بر روي هم 10/55% واريانس كل پرسشها را تبيين مي‌كنند. جدول 3، شاخصهاي آماري نهايي پرسشنامه پژوهش را از طريق روش تحليل مؤلفه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اصلي نشان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دهد.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همان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طور كه در جدول 3 ملاحظه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شود، عامل يكم (مسائل مربوط به دسترسي) بيشترين سهم واريانس را در تبيين واريانس فوق برعهده دارد (88/17 %). با وجود اين، نتيجه به دست آمده بيانگر اين است كه پرسشنامه مذكور، يك پرسشنامه چندبعدي است. بدين ترتيب، 45/32% واريانس مشترك بين سؤالها توسط عامل يكم (مسائل مربوط به دسترسي)؛ 45/7% واريانس توسط دومين عامل (مباحث فني و تخصصي) با واريانس مشترك 52/13% ؛ 27/6% واريانس توسط سومين عامل (نيازسنجي از كاربران) با واريانس مشترك 38/11%؛ 69/4% واريانس توسط عامل چهارم (بيان رسالت، هدفها و مسائل مالي) با واريانس مشترك 51/8%؛ 60/4% واريانس توسط عامل پنجم (اجرا و بازنگري در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مشي) با واريانس مشترك 34/8%؛ 29/4% واريانس توسط ششمين عامل (مسائل مربوط به ديجيتال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سازي) با واريانس مشترك 78/7%؛ 53/3% واريانس توسط عامل هفتم (معيارهاي انتخاب منابع الكترونيكي) با واريانس مشترك 40/6%؛ 32/3% واريانس توسط عامل هشتم (مقدمه و تعريفهاي مربوط به انواع منابع الكترونيكي) با واريانس مشترك 02/6% و 03/3% واريانس توسط عامل نهم (نيروي انساني) با واريانس مشترك49/5% تبيين مي‌شوند. </w:t>
      </w:r>
    </w:p>
    <w:p w:rsidR="00AB297B" w:rsidRPr="00AB297B" w:rsidRDefault="00AB297B" w:rsidP="00AB297B">
      <w:pPr>
        <w:jc w:val="center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t xml:space="preserve">جدول 3. شاخصهاي آماري نهايي پرسشنامة پژوهش </w:t>
      </w:r>
    </w:p>
    <w:p w:rsidR="00AB297B" w:rsidRPr="00AB297B" w:rsidRDefault="00AB297B" w:rsidP="00AB297B">
      <w:pPr>
        <w:jc w:val="center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t>(مؤلفه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هاي اصلي يك خط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مشي مديريت منابع الكترونيكي)، از طريق روش تحليل مؤلفه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هاي اصلي</w:t>
      </w:r>
    </w:p>
    <w:tbl>
      <w:tblPr>
        <w:bidiVisual/>
        <w:tblW w:w="6908" w:type="dxa"/>
        <w:jc w:val="center"/>
        <w:tblInd w:w="1138" w:type="dxa"/>
        <w:tblCellMar>
          <w:left w:w="0" w:type="dxa"/>
          <w:right w:w="0" w:type="dxa"/>
        </w:tblCellMar>
        <w:tblLook w:val="04A0"/>
      </w:tblPr>
      <w:tblGrid>
        <w:gridCol w:w="2790"/>
        <w:gridCol w:w="785"/>
        <w:gridCol w:w="680"/>
        <w:gridCol w:w="1275"/>
        <w:gridCol w:w="1378"/>
      </w:tblGrid>
      <w:tr w:rsidR="00AB297B" w:rsidRPr="00AB297B">
        <w:trPr>
          <w:jc w:val="center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/>
              <w:jc w:val="center"/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                     شاخصهاي آماري</w:t>
            </w:r>
          </w:p>
          <w:p w:rsidR="00AB297B" w:rsidRPr="00AB297B" w:rsidRDefault="00AB297B" w:rsidP="00AB297B">
            <w:pPr>
              <w:spacing w:before="100" w:beforeAutospacing="1" w:after="100" w:afterAutospacing="1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عاملها</w:t>
            </w:r>
          </w:p>
        </w:tc>
        <w:tc>
          <w:tcPr>
            <w:tcW w:w="78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ميزان اشتراك</w:t>
            </w:r>
          </w:p>
        </w:tc>
        <w:tc>
          <w:tcPr>
            <w:tcW w:w="6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مقادير ويژه</w:t>
            </w:r>
          </w:p>
        </w:tc>
        <w:tc>
          <w:tcPr>
            <w:tcW w:w="127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درصد واريانس تبيين شده</w:t>
            </w:r>
          </w:p>
        </w:tc>
        <w:tc>
          <w:tcPr>
            <w:tcW w:w="137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درصد واريانس تجمعي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27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lastRenderedPageBreak/>
              <w:t>اول: مسائل مربوط به دسترسي</w:t>
            </w:r>
          </w:p>
        </w:tc>
        <w:tc>
          <w:tcPr>
            <w:tcW w:w="7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30/32</w:t>
            </w:r>
          </w:p>
        </w:tc>
        <w:tc>
          <w:tcPr>
            <w:tcW w:w="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16/12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88/17</w:t>
            </w:r>
          </w:p>
        </w:tc>
        <w:tc>
          <w:tcPr>
            <w:tcW w:w="13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88/17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27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دوم: مباحث فني و تخصصي</w:t>
            </w:r>
          </w:p>
        </w:tc>
        <w:tc>
          <w:tcPr>
            <w:tcW w:w="7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52/13</w:t>
            </w:r>
          </w:p>
        </w:tc>
        <w:tc>
          <w:tcPr>
            <w:tcW w:w="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06/5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45/7</w:t>
            </w:r>
          </w:p>
        </w:tc>
        <w:tc>
          <w:tcPr>
            <w:tcW w:w="13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34/25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27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سوم: نيازسنجي از كاربران</w:t>
            </w:r>
          </w:p>
        </w:tc>
        <w:tc>
          <w:tcPr>
            <w:tcW w:w="7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38/11</w:t>
            </w:r>
          </w:p>
        </w:tc>
        <w:tc>
          <w:tcPr>
            <w:tcW w:w="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26/4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27/6</w:t>
            </w:r>
          </w:p>
        </w:tc>
        <w:tc>
          <w:tcPr>
            <w:tcW w:w="13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61/31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27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چهارم: بيان رسالت، هدفها و مسائل مالي</w:t>
            </w:r>
          </w:p>
        </w:tc>
        <w:tc>
          <w:tcPr>
            <w:tcW w:w="7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51/8</w:t>
            </w:r>
          </w:p>
        </w:tc>
        <w:tc>
          <w:tcPr>
            <w:tcW w:w="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19/3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69/4</w:t>
            </w:r>
          </w:p>
        </w:tc>
        <w:tc>
          <w:tcPr>
            <w:tcW w:w="13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30/36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27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پنجم: اجرا و بازنگري در خط</w:t>
            </w: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softHyphen/>
              <w:t>مشي</w:t>
            </w:r>
          </w:p>
        </w:tc>
        <w:tc>
          <w:tcPr>
            <w:tcW w:w="7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34/8</w:t>
            </w:r>
          </w:p>
        </w:tc>
        <w:tc>
          <w:tcPr>
            <w:tcW w:w="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13/3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60/4</w:t>
            </w:r>
          </w:p>
        </w:tc>
        <w:tc>
          <w:tcPr>
            <w:tcW w:w="13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91/40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27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ششم: مسائل مربوط به ديجيتال</w:t>
            </w: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softHyphen/>
              <w:t>سازي</w:t>
            </w:r>
          </w:p>
        </w:tc>
        <w:tc>
          <w:tcPr>
            <w:tcW w:w="7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78/8</w:t>
            </w:r>
          </w:p>
        </w:tc>
        <w:tc>
          <w:tcPr>
            <w:tcW w:w="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91/2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29/4</w:t>
            </w:r>
          </w:p>
        </w:tc>
        <w:tc>
          <w:tcPr>
            <w:tcW w:w="13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20/45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27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هفتم: معيارهاي انتخاب منابع الكترونيكي</w:t>
            </w:r>
          </w:p>
        </w:tc>
        <w:tc>
          <w:tcPr>
            <w:tcW w:w="7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40/6</w:t>
            </w:r>
          </w:p>
        </w:tc>
        <w:tc>
          <w:tcPr>
            <w:tcW w:w="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40/2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53/3</w:t>
            </w:r>
          </w:p>
        </w:tc>
        <w:tc>
          <w:tcPr>
            <w:tcW w:w="13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74/48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27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هشتم: مقدمه و تعريفهاي مربوط به انواع منابع الكترونيكي</w:t>
            </w:r>
          </w:p>
        </w:tc>
        <w:tc>
          <w:tcPr>
            <w:tcW w:w="7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02/6</w:t>
            </w:r>
          </w:p>
        </w:tc>
        <w:tc>
          <w:tcPr>
            <w:tcW w:w="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26/2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32/3</w:t>
            </w:r>
          </w:p>
        </w:tc>
        <w:tc>
          <w:tcPr>
            <w:tcW w:w="13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06/52</w:t>
            </w:r>
          </w:p>
        </w:tc>
      </w:tr>
      <w:tr w:rsidR="00AB297B" w:rsidRPr="00AB297B">
        <w:trPr>
          <w:trHeight w:val="340"/>
          <w:jc w:val="center"/>
        </w:trPr>
        <w:tc>
          <w:tcPr>
            <w:tcW w:w="279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rtl/>
              </w:rPr>
              <w:t>نهم: نيروي انساني</w:t>
            </w:r>
          </w:p>
        </w:tc>
        <w:tc>
          <w:tcPr>
            <w:tcW w:w="78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49/5</w:t>
            </w:r>
          </w:p>
        </w:tc>
        <w:tc>
          <w:tcPr>
            <w:tcW w:w="6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06/2</w:t>
            </w:r>
          </w:p>
        </w:tc>
        <w:tc>
          <w:tcPr>
            <w:tcW w:w="12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03/3</w:t>
            </w:r>
          </w:p>
        </w:tc>
        <w:tc>
          <w:tcPr>
            <w:tcW w:w="13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97B" w:rsidRPr="00AB297B" w:rsidRDefault="00AB297B" w:rsidP="00AB297B">
            <w:pPr>
              <w:spacing w:before="100" w:beforeAutospacing="1" w:after="100" w:afterAutospacing="1" w:line="288" w:lineRule="auto"/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10/55</w:t>
            </w:r>
          </w:p>
        </w:tc>
      </w:tr>
    </w:tbl>
    <w:p w:rsidR="00AB297B" w:rsidRPr="00AB297B" w:rsidRDefault="00AB297B" w:rsidP="00AB297B">
      <w:pPr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t> 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همان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طور كه ملاحظه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شود، گرچه ماده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استخراج شده از تحليل محتواي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مشي‌هاي موجود در وب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سايتهاي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دانشگاهي جهان توسط آنان در 14 مؤلفه به عنوان فهرست مندرجات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دسته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بندي شده بودند و تمامي اين موارد از نظر مديران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مركزي دانشگاه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دولتي ايران اهميت زيادي در تدوين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داشتند (جدول 2)، اما عاملهاي به دست آمده از نظرسنجي مديران مذكور، تنها در 9 عامل يا مؤلفه دسته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بندي شده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اند (جدول 3).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براي اينكه مشخص شود شركت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كنندگان كدام ماده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 را نسبت به ماده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ديگر در اولويت قرار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دهند، از آزمون غيرپارامتريك تكراري فريدمن استفاده شد. اين آزمون نشان داد بين ماده‌‌‌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عاملهاي اول تا پنجم، و هفتم تا نهم در اولويت‌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بندي، تفاوت معناداري ديده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شود. به عبارت ديگر، ميانگين رتبه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ماده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اين عوامل از نظر پاسخگويان يكسان نيست. اما بين ماده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عامل ششم در اولويت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بندي تفاوت ديده نمي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شود (65/3=، 456/0=</w:t>
      </w:r>
      <w:r w:rsidRPr="00AB297B">
        <w:rPr>
          <w:rFonts w:ascii="B Nazanin" w:hAnsi="B Nazanin" w:cs="B Nazanin"/>
          <w:color w:val="000000"/>
          <w:sz w:val="22"/>
        </w:rPr>
        <w:t>p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>). به عبارت ديگر، از نظر پاسخگويان بين اولويت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بندي ميانگين رتبه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ماده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هاي عامل ششم تفاوتي وجود ندارد. 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جدول 5، ماتريس ضريبهاي روايي همگراي عاملهاي 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گانه و نمره كل پرسشنامه پژوهش را نشان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دهد.همان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طور كه مشاهده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شود، بالاترين ضريب همبستگي مربوط به عامل هفتم (معيارهاي انتخاب منابع الكترونيكي) (72/0=</w:t>
      </w:r>
      <w:r w:rsidRPr="00AB297B">
        <w:rPr>
          <w:rFonts w:ascii="B Nazanin" w:hAnsi="B Nazanin" w:cs="B Nazanin"/>
          <w:color w:val="000000"/>
          <w:sz w:val="22"/>
        </w:rPr>
        <w:t>r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>، 01/0&gt;</w:t>
      </w:r>
      <w:r w:rsidRPr="00AB297B">
        <w:rPr>
          <w:rFonts w:ascii="B Nazanin" w:hAnsi="B Nazanin" w:cs="B Nazanin"/>
          <w:color w:val="000000"/>
          <w:sz w:val="22"/>
        </w:rPr>
        <w:t>p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>) و پايين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ترين ضريب مربوط به عامل نهم (نيروي انساني) (23/0=</w:t>
      </w:r>
      <w:r w:rsidRPr="00AB297B">
        <w:rPr>
          <w:rFonts w:ascii="B Nazanin" w:hAnsi="B Nazanin" w:cs="B Nazanin"/>
          <w:color w:val="000000"/>
          <w:sz w:val="22"/>
        </w:rPr>
        <w:t>r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>، 05/0&gt;</w:t>
      </w:r>
      <w:r w:rsidRPr="00AB297B">
        <w:rPr>
          <w:rFonts w:ascii="B Nazanin" w:hAnsi="B Nazanin" w:cs="B Nazanin"/>
          <w:color w:val="000000"/>
          <w:sz w:val="22"/>
        </w:rPr>
        <w:t>p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>)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باشد. </w:t>
      </w:r>
    </w:p>
    <w:p w:rsidR="00AB297B" w:rsidRPr="00AB297B" w:rsidRDefault="00AB297B" w:rsidP="00AB297B">
      <w:pPr>
        <w:jc w:val="center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t>جدول5. ماتريس ضريبهاي روايي همگراي عاملهاي نه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گانه و نمره كل پرسشنامه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13"/>
        <w:gridCol w:w="709"/>
        <w:gridCol w:w="709"/>
        <w:gridCol w:w="850"/>
        <w:gridCol w:w="851"/>
        <w:gridCol w:w="737"/>
        <w:gridCol w:w="794"/>
        <w:gridCol w:w="709"/>
        <w:gridCol w:w="843"/>
        <w:gridCol w:w="770"/>
      </w:tblGrid>
      <w:tr w:rsidR="00AB297B" w:rsidRPr="00AB297B">
        <w:trPr>
          <w:trHeight w:val="312"/>
          <w:jc w:val="center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عامل</w:t>
            </w: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softHyphen/>
              <w:t>ها</w:t>
            </w:r>
          </w:p>
        </w:tc>
        <w:tc>
          <w:tcPr>
            <w:tcW w:w="70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4</w:t>
            </w:r>
          </w:p>
        </w:tc>
        <w:tc>
          <w:tcPr>
            <w:tcW w:w="73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5</w:t>
            </w:r>
          </w:p>
        </w:tc>
        <w:tc>
          <w:tcPr>
            <w:tcW w:w="79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7</w:t>
            </w:r>
          </w:p>
        </w:tc>
        <w:tc>
          <w:tcPr>
            <w:tcW w:w="84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8</w:t>
            </w:r>
          </w:p>
        </w:tc>
        <w:tc>
          <w:tcPr>
            <w:tcW w:w="7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9</w:t>
            </w:r>
          </w:p>
        </w:tc>
      </w:tr>
      <w:tr w:rsidR="00AB297B" w:rsidRPr="00AB297B">
        <w:trPr>
          <w:trHeight w:val="312"/>
          <w:jc w:val="center"/>
        </w:trPr>
        <w:tc>
          <w:tcPr>
            <w:tcW w:w="8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15/0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39/0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39/0</w:t>
            </w:r>
          </w:p>
        </w:tc>
        <w:tc>
          <w:tcPr>
            <w:tcW w:w="73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16/0</w:t>
            </w:r>
          </w:p>
        </w:tc>
        <w:tc>
          <w:tcPr>
            <w:tcW w:w="7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30/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39/0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22/0</w:t>
            </w:r>
          </w:p>
        </w:tc>
        <w:tc>
          <w:tcPr>
            <w:tcW w:w="7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004/0-</w:t>
            </w:r>
          </w:p>
        </w:tc>
      </w:tr>
      <w:tr w:rsidR="00AB297B" w:rsidRPr="00AB297B">
        <w:trPr>
          <w:trHeight w:val="312"/>
          <w:jc w:val="center"/>
        </w:trPr>
        <w:tc>
          <w:tcPr>
            <w:tcW w:w="8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31/0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29/0</w:t>
            </w:r>
          </w:p>
        </w:tc>
        <w:tc>
          <w:tcPr>
            <w:tcW w:w="73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28/0</w:t>
            </w:r>
          </w:p>
        </w:tc>
        <w:tc>
          <w:tcPr>
            <w:tcW w:w="7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42/0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33/0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47/0</w:t>
            </w:r>
          </w:p>
        </w:tc>
        <w:tc>
          <w:tcPr>
            <w:tcW w:w="7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19/0</w:t>
            </w:r>
          </w:p>
        </w:tc>
      </w:tr>
      <w:tr w:rsidR="00AB297B" w:rsidRPr="00AB297B">
        <w:trPr>
          <w:trHeight w:val="312"/>
          <w:jc w:val="center"/>
        </w:trPr>
        <w:tc>
          <w:tcPr>
            <w:tcW w:w="8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42/0</w:t>
            </w:r>
          </w:p>
        </w:tc>
        <w:tc>
          <w:tcPr>
            <w:tcW w:w="73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23/0</w:t>
            </w:r>
          </w:p>
        </w:tc>
        <w:tc>
          <w:tcPr>
            <w:tcW w:w="7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46/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44/0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26/0</w:t>
            </w:r>
          </w:p>
        </w:tc>
        <w:tc>
          <w:tcPr>
            <w:tcW w:w="7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007/0</w:t>
            </w:r>
          </w:p>
        </w:tc>
      </w:tr>
      <w:tr w:rsidR="00AB297B" w:rsidRPr="00AB297B">
        <w:trPr>
          <w:trHeight w:val="312"/>
          <w:jc w:val="center"/>
        </w:trPr>
        <w:tc>
          <w:tcPr>
            <w:tcW w:w="8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73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37/0</w:t>
            </w:r>
          </w:p>
        </w:tc>
        <w:tc>
          <w:tcPr>
            <w:tcW w:w="7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43/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50/0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23/0</w:t>
            </w:r>
          </w:p>
        </w:tc>
        <w:tc>
          <w:tcPr>
            <w:tcW w:w="7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06/0</w:t>
            </w:r>
          </w:p>
        </w:tc>
      </w:tr>
      <w:tr w:rsidR="00AB297B" w:rsidRPr="00AB297B">
        <w:trPr>
          <w:trHeight w:val="312"/>
          <w:jc w:val="center"/>
        </w:trPr>
        <w:tc>
          <w:tcPr>
            <w:tcW w:w="8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3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7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30/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40/0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25/0</w:t>
            </w:r>
          </w:p>
        </w:tc>
        <w:tc>
          <w:tcPr>
            <w:tcW w:w="7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33/0</w:t>
            </w:r>
          </w:p>
        </w:tc>
      </w:tr>
      <w:tr w:rsidR="00AB297B" w:rsidRPr="00AB297B">
        <w:trPr>
          <w:trHeight w:val="312"/>
          <w:jc w:val="center"/>
        </w:trPr>
        <w:tc>
          <w:tcPr>
            <w:tcW w:w="8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6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3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44/0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46/0</w:t>
            </w:r>
          </w:p>
        </w:tc>
        <w:tc>
          <w:tcPr>
            <w:tcW w:w="7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13/0</w:t>
            </w:r>
          </w:p>
        </w:tc>
      </w:tr>
      <w:tr w:rsidR="00AB297B" w:rsidRPr="00AB297B">
        <w:trPr>
          <w:trHeight w:val="312"/>
          <w:jc w:val="center"/>
        </w:trPr>
        <w:tc>
          <w:tcPr>
            <w:tcW w:w="8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lastRenderedPageBreak/>
              <w:t>7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3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37/0</w:t>
            </w:r>
          </w:p>
        </w:tc>
        <w:tc>
          <w:tcPr>
            <w:tcW w:w="7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13/0</w:t>
            </w:r>
          </w:p>
        </w:tc>
      </w:tr>
      <w:tr w:rsidR="00AB297B" w:rsidRPr="00AB297B">
        <w:trPr>
          <w:trHeight w:val="312"/>
          <w:jc w:val="center"/>
        </w:trPr>
        <w:tc>
          <w:tcPr>
            <w:tcW w:w="8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8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3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  <w:tc>
          <w:tcPr>
            <w:tcW w:w="7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04/0</w:t>
            </w:r>
          </w:p>
        </w:tc>
      </w:tr>
      <w:tr w:rsidR="00AB297B" w:rsidRPr="00AB297B">
        <w:trPr>
          <w:trHeight w:val="284"/>
          <w:jc w:val="center"/>
        </w:trPr>
        <w:tc>
          <w:tcPr>
            <w:tcW w:w="8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9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3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 </w:t>
            </w:r>
          </w:p>
        </w:tc>
        <w:tc>
          <w:tcPr>
            <w:tcW w:w="7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-</w:t>
            </w:r>
          </w:p>
        </w:tc>
      </w:tr>
      <w:tr w:rsidR="00AB297B" w:rsidRPr="00AB297B">
        <w:trPr>
          <w:trHeight w:val="312"/>
          <w:jc w:val="center"/>
        </w:trPr>
        <w:tc>
          <w:tcPr>
            <w:tcW w:w="81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Style w:val="Strong"/>
                <w:rFonts w:ascii="B Nazanin" w:hAnsi="B Nazanin" w:cs="B Nazanin"/>
                <w:color w:val="333333"/>
                <w:sz w:val="22"/>
                <w:szCs w:val="18"/>
                <w:rtl/>
              </w:rPr>
              <w:t>نمره كل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46/0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62/0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68/0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70/0</w:t>
            </w:r>
          </w:p>
        </w:tc>
        <w:tc>
          <w:tcPr>
            <w:tcW w:w="73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55/0</w:t>
            </w:r>
          </w:p>
        </w:tc>
        <w:tc>
          <w:tcPr>
            <w:tcW w:w="79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69/0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72/0</w:t>
            </w:r>
          </w:p>
        </w:tc>
        <w:tc>
          <w:tcPr>
            <w:tcW w:w="8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56/0</w:t>
            </w:r>
          </w:p>
        </w:tc>
        <w:tc>
          <w:tcPr>
            <w:tcW w:w="7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97B" w:rsidRPr="00AB297B" w:rsidRDefault="00AB297B" w:rsidP="00AB297B">
            <w:pPr>
              <w:jc w:val="center"/>
              <w:rPr>
                <w:rFonts w:ascii="B Nazanin" w:hAnsi="B Nazanin" w:cs="B Nazanin"/>
                <w:color w:val="333333"/>
                <w:sz w:val="22"/>
                <w:szCs w:val="18"/>
              </w:rPr>
            </w:pPr>
            <w:r w:rsidRPr="00AB297B">
              <w:rPr>
                <w:rFonts w:ascii="B Nazanin" w:hAnsi="B Nazanin" w:cs="B Nazanin"/>
                <w:color w:val="333333"/>
                <w:sz w:val="22"/>
                <w:szCs w:val="16"/>
                <w:rtl/>
              </w:rPr>
              <w:t>*</w:t>
            </w:r>
            <w:r w:rsidRPr="00AB297B">
              <w:rPr>
                <w:rFonts w:ascii="B Nazanin" w:hAnsi="B Nazanin" w:cs="B Nazanin"/>
                <w:color w:val="333333"/>
                <w:sz w:val="22"/>
                <w:szCs w:val="18"/>
                <w:rtl/>
              </w:rPr>
              <w:t>23/0</w:t>
            </w:r>
          </w:p>
        </w:tc>
      </w:tr>
    </w:tbl>
    <w:p w:rsidR="00AB297B" w:rsidRPr="00AB297B" w:rsidRDefault="00AB297B" w:rsidP="00AB297B">
      <w:pPr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t> 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در بررسي همبستگي و روابط ميان عوامل 9گانه، بين عامل اول (مسائل مربوط به دسترسي) با عاملهاي دوم (مباحث فني و تخصصي)(15/0=</w:t>
      </w:r>
      <w:r w:rsidRPr="00AB297B">
        <w:rPr>
          <w:rFonts w:ascii="B Nazanin" w:hAnsi="B Nazanin" w:cs="B Nazanin"/>
          <w:color w:val="000000"/>
          <w:sz w:val="22"/>
        </w:rPr>
        <w:t>r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>)، پنجم (اجرا و بازنگري در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مشي) (16/0=</w:t>
      </w:r>
      <w:r w:rsidRPr="00AB297B">
        <w:rPr>
          <w:rFonts w:ascii="B Nazanin" w:hAnsi="B Nazanin" w:cs="B Nazanin"/>
          <w:color w:val="000000"/>
          <w:sz w:val="22"/>
        </w:rPr>
        <w:t>r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>)، هشتم (مقدمه و تعريفهاي مربوط به انواع منابع الكترونيكي) (22/0=</w:t>
      </w:r>
      <w:r w:rsidRPr="00AB297B">
        <w:rPr>
          <w:rFonts w:ascii="B Nazanin" w:hAnsi="B Nazanin" w:cs="B Nazanin"/>
          <w:color w:val="000000"/>
          <w:sz w:val="22"/>
        </w:rPr>
        <w:t>r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>) و نهم (004/0- =</w:t>
      </w:r>
      <w:r w:rsidRPr="00AB297B">
        <w:rPr>
          <w:rFonts w:ascii="B Nazanin" w:hAnsi="B Nazanin" w:cs="B Nazanin"/>
          <w:color w:val="000000"/>
          <w:sz w:val="22"/>
        </w:rPr>
        <w:t>r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>) رابطه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 معناداري ديده نمي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شود. همچنين، بين عامل نهم با عاملهاي دوم ، سوم (نيازسنجي از كاربران)، چهارم (بيان رسالت، هدفها و مسائل مالي)، ششم (مسائل مربوط به ديجيتال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سازي)، هفتم (معيارهاي انتخاب منابع الكترونيكي) و هشتم (مقدمه و تعريفهاي مربوط به انواع منابع الكترونيكي) نيز رابطه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 معناداري ديده نمي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شود. عامل نهم تنها با عامل پنجم (اجرا و بازنگري درخط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مشي) ارتباط دارد. به عبارت ديگر، عامل 9، عاملي منزوي و بدون ارتباط با ساير عوامل است. اما بين عاملهاي ديگر در ماتريس همبستگي رابطه معنادار وجود دارد. 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در آخر، يافته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معنادار بيانگر روايي سازة همگرا بين نمره كل و 9 عامل به دست آمده است و نشان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دهد كه الگويي براي مديريت مجموعه منابع الكترونيكي يا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آن جهت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مركزي دانشگاه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دولتي ايران مناسب است كه تمامي 9 عامل فوق در آن در نظر گرفته شود. هر چند ارتباط بين عامل نهم (نيروي انساني) با 8 عامل ديگر ضعيف است (جدول 5 و نمودار 1). به منظور آنكه روابط بين 9 عامل تعيين شده بر اساس ضرايب همبستگي بين آنان مشخص شود، نمودار 1 ترسيم شد</w:t>
      </w:r>
      <w:bookmarkStart w:id="36" w:name="_ftnref37"/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28"/>
        </w:rPr>
        <w:instrText>HYPERLINK "http://www.aqlibrary.org/modules/FCKEditor/pnincludes/editor/fckeditor.html?InstanceName=desc&amp;Toolbar=Default" \l "_ftn37" \o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szCs w:val="24"/>
        </w:rPr>
        <w:t>[36]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fldChar w:fldCharType="end"/>
      </w:r>
      <w:bookmarkEnd w:id="36"/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(عصاره و مك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كين، 2008). </w:t>
      </w:r>
    </w:p>
    <w:p w:rsidR="00AB297B" w:rsidRPr="00AB297B" w:rsidRDefault="00AB297B" w:rsidP="00AB297B">
      <w:pPr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t> </w:t>
      </w:r>
    </w:p>
    <w:p w:rsidR="00AB297B" w:rsidRPr="00AB297B" w:rsidRDefault="00AB297B" w:rsidP="00AB297B">
      <w:pPr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t>  </w:t>
      </w:r>
    </w:p>
    <w:p w:rsidR="00AB297B" w:rsidRPr="00AB297B" w:rsidRDefault="00AB297B" w:rsidP="00AB297B">
      <w:pPr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lastRenderedPageBreak/>
        <w:t> </w:t>
      </w:r>
      <w:r w:rsidRPr="00AB297B">
        <w:rPr>
          <w:rFonts w:ascii="B Nazanin" w:hAnsi="B Nazanin" w:cs="B Nazanin"/>
          <w:b/>
          <w:bCs/>
          <w:noProof/>
          <w:color w:val="000000"/>
          <w:sz w:val="22"/>
          <w:szCs w:val="18"/>
        </w:rPr>
        <w:drawing>
          <wp:inline distT="0" distB="0" distL="0" distR="0">
            <wp:extent cx="6162675" cy="4000500"/>
            <wp:effectExtent l="19050" t="0" r="9525" b="0"/>
            <wp:docPr id="127" name="Picture 127" descr="http://www.aqlibrary.org/UserFiles/Image/mehv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aqlibrary.org/UserFiles/Image/mehv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br w:type="textWrapping" w:clear="all"/>
      </w:r>
    </w:p>
    <w:p w:rsidR="00AB297B" w:rsidRPr="00AB297B" w:rsidRDefault="00AB297B" w:rsidP="00AB297B">
      <w:pPr>
        <w:jc w:val="center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t>نمودار 1. همبستگي دروني عاملهاي نه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گانه حاصل از تحليل مؤلفه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هاي اصلي از نظر مديران كتابخانه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هاي مركزي دانشگاه</w:t>
      </w: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softHyphen/>
        <w:t>هاي دولتي ايران (خط برش 35/0)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 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همان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طور كه در شكل 1 ملاحظه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شود، ارتباط بين عوامل 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گانه فوق پيچيده و چندبعدياست، اما از نظر ارتباط دروني بين عوامل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توان گفت مرتبط‌ترين عوامل به ترتيب ضريب همبستگي (جدول 5) عبارتند از: عاملهاي هفتم، چهارم، ششم، سوم، دوم، پنجم، هشتم، يكم و در آخر نهم. به عنوان نمونه، در ادامه به تشريح روابط دو عامل هفتم و چهارم با ساير عوامل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پردازيم. ارتباط بين ساير عوامل به خوبي در شكل 1 نشان داده شده است و با توجه به اصول مديريت مجموعه، قابل تبيين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باشند.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عامل هفتم (معيارهاي انتخاب منابع الكترونيكي)، داراي بيشترين ضريب همبستگي با ساير عوامل است و با شش عامل ديگر، همبستگي و ارتباط دارد. ارتباط اين عامل به ترتيب با عوامل چهارم (بيان رسالت، هدفها و مسائل مالي)، سوم (نيازسنجي از كاربران)، ششم (مسائل مربوط به ديجيتال‌سازي)، پنجم (اجرا و بازنگري در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مشي)، يكم (مسائل مربوط به دسترسي) و هشتم (مقدمه و تعريفهاي مربوط به انواع منابع الكترونيكي) است. دو عامل ديگر از نه عامل، يعني عاملهاي دوم (مباحث فني و تخصصي) و نهم (نيروي انساني) با عامل هفتم ارتباطي ضعيف و غيرمستقيم دارند. تمامي اين موارد داراي تأثير و تأثر متقابل هستند. براي مثال، رسالت، هدفها و مسائل مالي، همچنين نيازهاي اطلاعاتي كاربران و شرايط دسترسي، بر معيارهاي انتخاب منابع الكترونيكي تأثير مستقيم دارد.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lastRenderedPageBreak/>
        <w:t>عامل چهارم (بيان رسالت، هدفها و مسائل مالي) بعد از عامل هفتم داراي بيشترين ضريب همبستگي با ساير عوامل است و به ترتيب با عاملهاي معيارهاي انتخاب منابع الكترونيكي، مسائل مربوط به ديجيتال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سازي، نيازسنجي از كاربران، مسائل مربوط به دسترسي و اجرا و بازنگري در خط‌مشي، ارتباط دارد. تمامي اين موارد، در تدوين عامل چهارم در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نقشي اساسي دارند و بر هم تأثيرگذارند. به عنوان مثال، معيارهاي انتخاب منابع الكترونيكي و ديجيتال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سازي آنها، به طور مستقيم متأثر از مسائل مالي است؛ يا نيازسنجي از كاربران و مسائل مربوط به دسترسي، با رسالت و هدفها، كتابخانه ارتباط مستقيم دارد.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 </w:t>
      </w:r>
    </w:p>
    <w:p w:rsidR="00AB297B" w:rsidRPr="00AB297B" w:rsidRDefault="00AB297B" w:rsidP="00AB297B">
      <w:pPr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28"/>
          <w:rtl/>
        </w:rPr>
        <w:t>بحث و نتيجه</w:t>
      </w:r>
      <w:r w:rsidRPr="00AB297B">
        <w:rPr>
          <w:rStyle w:val="Strong"/>
          <w:rFonts w:ascii="B Nazanin" w:hAnsi="B Nazanin" w:cs="B Nazanin"/>
          <w:color w:val="000000"/>
          <w:sz w:val="22"/>
          <w:szCs w:val="28"/>
          <w:rtl/>
        </w:rPr>
        <w:softHyphen/>
        <w:t>گيري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جمع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بندي يافته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فوق نشان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دهد گرچه اغلب مديران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 ذكر كرده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اند كه داراي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مديريت مجموعه (به طور كلي) يا مديريت منابع الكترونيكي (به طور خاص) هستند، اما از آنجا كه هيچ يك از آنان نسخه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اي از آن را ارسال نكرده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اند،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توان با اندكي احتياط چنين نتيجه گرفت كه يا اين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وجود ندارد و يا به صورت شفاهي موجود است. اين امر، لزوم تهية يك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مدوّن و رسمي براي اين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 را آشكار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كند. اين يافته در راستاي يافته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«كوهي رستمي» (1386) است كه دريافت تنها 7/37%از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مركزي دانشگاه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تحت پوشش وزارت علوم و وزارت بهداشت، داراي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مكتوب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گستري هستند.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چون 6/45% از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مورد بررسي فاقد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براي مديريت منابع الكترونيكي خود هستند، لزوم و ضرورت تدوين يك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و يا ترجمة راهنماهاي مناسب موجود در اين زمينه (مانند راهنماي ايفلا و ...) آشكار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شود. اين يافته، تأييدي بر يافتة «كوهي رستمي» (1386) است كه دريافت 4/75 %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مركزي دانشگاه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دولتي ايران، فاقد راهنمايي براي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گستري منابع الكترونيكي هستند و 4/98% مديران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مركزي دانشگاه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دولتي ايران، تدوين اين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را بسيار ضروري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دانند.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در تدوين چنين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يا الگويي، بايد نيازهاي فعلي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مذكور را با توجه به نيازهاي آتي احتمالي آنان، در نظر گرفت. همچنين، مشكلات موجود فعلي و موانع را برطرف نمود. به نظر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رسد الگويي براي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دانشگاهي ايران مناسب است كه: نخست يكدست و براي تمامي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دانشگاهي ايران قابل استفاده باشد؛ دوم: آموزش كتابداران و كاربران، تخصيص بودجه لازم براي منابع الكترونيكي، زيرساختهاي فني و تجهيزات و امكانات مورد نياز، و نيروي انساني لازم در آن پيش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بيني شده باشد. 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از نظر مديران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مركزي دانشگاه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دولتي ايران ترتيب اهميت 14 عامل اصلي پيشنهادي به عنوان رئوس مطالب يا فهرست مندرجات يك خط‌مشي مديريت منابع الكترونيكي، به ترتيب و بر اساس ميانگين عبارتند از: بودجه و مسائل مالي، ارزيابي به منظور انتخاب يا عدم انتخاب منابع الكترونيكي، مسائل مربوط به كاربران، مسائل مربوط به دسترسي، مسائل مربوط به آرشيو، نگهداري و امنيت، مجوزها و قراردادها، ديجيتال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سازي، مقدمه، فلسفه و هدفها، مسائل مربوط به فراهم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آوري، دامنه و تعريفهاي مربوط به انواع منابع الكترونيكي، نسخه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برداري و تكثير، اجرا و بازنگري در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مشي، مباحث فني و مباحث مديريت اجرايي. 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lastRenderedPageBreak/>
        <w:t>اما همان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طور كه گفته شد، در بررسي نظرهاي مديران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مركزي دانشگاه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دولتي ايران و تحليل عامل مؤلفه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مورد بررسي فوق، تنها 9 عامل تشخيص داده شد. بنابراين، با توجه به يافته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اين پژوهش، الگوي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مديريت منابع الكترونيكي براي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مركزي ايران بايد شامل 9 عامل محوري باشد. اين عوامل به ترتيب اهميت و بر اساس واريانس تبيين شده عبارتند از: مسائل مربوط به دسترسي، مباحث فني و تخصصي، نيازسنجي از كاربران، بيان رسالت، هدفها و مسائل مالي، اجرا و بازنگري در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مشي، مسائل مربوط به ديجيتال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سازي، معيارهاي انتخاب منابع الكترونيكي، مقدمه و تعريفهاي مربوط به انواع منابع الكترونيكي، و در آخر نيروي انساني (جدول 3). يادآوري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شود، ضمن توجه به ترتيب اهميت اين عوامل،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توان نظم منطقي موجود در فرايند مديريت مجموعه را در نظر گرفت و در تدوين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مناسب، ترتيب منطقي عوامل فوق را به جاي ترتيب اهميت آنها لحاظ كرد.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اما بررسي روابط دروني بين عوامل و ضريب همبستگي آنها، ترتيب ديگري براي اين عوامل نشان داد. محوري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ترين عوامل از نظر ارتباط دروني با ساير عوامل و به ترتيب ضريب همبستگي عبارتند از: عاملهاي هفتم (معيارهاي انتخاب منابع الكترونيكي)، چهارم (بيان رسالت، هدفها و مسائل مالي)، ششم (مسائل مربوط به ديجيتال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سازي)، سوم (نيازسنجي از كاربران)، دوم (مباحث فني و تخصصي)، پنجم (اجرا و بازنگري در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مشي)، هشتم (مقدمه و تعريفهاي مربوط به انواع منابع الكترونيكي)، يكم (مسائل مربوط به دسترسي) و در آخر نهم (نيروي انساني).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بدين ترتيب، در تدوين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مديريت منابع الكترونيكي براي كتابخانه‌هاي دانشگاهي ايران بايد به ترتيب اين عوامل، روابط دروني و تأثير و تأثر متقابل آنها توجه داشت و در نظر گرفت كه دسترسي به منابع كه همواره هدف غايي خدمات كتابداري و اطلاع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رساني بوده است، در اين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جا نيز حرف اول را مي‌زند. براي رسيدن به اين هدف، بايد زيرساختهاي فني و تخصصي لازم را فراهم نمود و نيازسنجي اطلاعات كاربران را انجام داد. يادآوري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شود، تمامي عوامل فوق به نوعي متأثر از عامل هفتم (معيارهاي انتخاب منابع الكترونيكي) هستند (جدول 5 و شكل 1) و هر گونه اشتباهي در انتخاب منابع الكترونيكي مي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تواند بر ساير عوامل اثرگذار باشد و عملكرد آنها را متأثر سازد.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 </w:t>
      </w:r>
    </w:p>
    <w:p w:rsidR="00AB297B" w:rsidRPr="00AB297B" w:rsidRDefault="00AB297B" w:rsidP="00AB297B">
      <w:pPr>
        <w:jc w:val="center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28"/>
          <w:rtl/>
        </w:rPr>
        <w:t>منابع</w:t>
      </w:r>
    </w:p>
    <w:p w:rsidR="00AB297B" w:rsidRPr="00AB297B" w:rsidRDefault="00AB297B" w:rsidP="00AB297B">
      <w:pPr>
        <w:jc w:val="center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Style w:val="Strong"/>
          <w:rFonts w:ascii="B Nazanin" w:hAnsi="B Nazanin" w:cs="B Nazanin"/>
          <w:color w:val="000000"/>
          <w:sz w:val="22"/>
          <w:szCs w:val="18"/>
          <w:rtl/>
        </w:rPr>
        <w:t> 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- ارجمند، تاج الملوك (1383). «مديريت مجلات الكترونيكي در كتابخانه‌ها». كتابداري و اطلاع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رساني، 28 (زمستان). ص. 69-81.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اصنافي، امير رضا (1382). «مديريت منابع الكترونيكي در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دانشكده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اي دانشگاه شهيد چمران اهواز». مجله الكترونيكي مركز اطلاعات و مدارك علمي ايران، 28 دي ماه.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امير پورسعيد، نوشين (1373). طرح ايجاد شبكه همكاري بين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دانشگاه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شهيد باهنر و علوم پزشكي كرمان. پايان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نامه كارشناسي ارشد. تهران: دانشگاه تهران، دانشكده روانشناسي و علوم تربيتي.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lastRenderedPageBreak/>
        <w:t>ـ بني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اقبال، ناهيد (1373). «بررسي وضعيت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دانشكده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اي دانشگاه تهران». فصلنامه پيام كتابخانه، 4 (1،2)، 77- 87.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بيگدلي، زاهد (1385). «تأثير نمايشگاه بين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المللي كتاب تهران بر روند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سازي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دانشگاهي ايران». فصلنامه كتاب، 17(1)، 321-330.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جردن، جي (2002). دستورالعمل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جديد براي توسعۀ مجموعۀ الكترونيكي. در: لي، سول اچ (ويراستار). منابع الكترونيكي و توسعۀ مجموعه كتابخانه. ترجمۀ عليرضا رستمي گومه (1383). تهران: چاپار.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حقيقي، مسعود (1356). پژوهشي درباره ارزيابي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و مقررات مربوط به انتخاب و تهيه مواد و مجموعه در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مركزي دانشگاه تهران، دانشگاه ملّي ايران و دانشگاه صنعتي آريامهر. پايان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نامه كارشناسي ارشد كتابداري و اطلاع‌رساني. تهران: دانشگاه تهران، دانشكده علوم تربيتي.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دياني، محمدحسين (1377).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سازي و فراهم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آوري در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ها. اهواز: دانشگاه شهيد چمران اهواز.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ديلون، دنيس (2002). ماهيگيري در رودخانۀ الكترونيكي: فناوري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اخلالگر، غير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اي و محيط اطلاعات. در: لي، سول اچ (ويراستار). منابع الكترونيكي و توسعۀ مجموعه كتابخانه. ترجمۀ عليرضا رستمي گومه (1383). تهران: چاپار.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روستو، مارسيا (1995). مواد جديد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اي و مديريت اطلاعات: كتاب الكترونيك </w:t>
      </w:r>
      <w:r w:rsidRPr="00AB297B">
        <w:rPr>
          <w:rFonts w:ascii="B Nazanin" w:hAnsi="B Nazanin" w:cs="B Nazanin" w:hint="cs"/>
          <w:color w:val="000000"/>
          <w:sz w:val="22"/>
          <w:szCs w:val="28"/>
          <w:rtl/>
        </w:rPr>
        <w:t xml:space="preserve">↔ كتابخانه الكترونيك. ترجمه مرتضي كوكبي. (1375). </w:t>
      </w:r>
      <w:r w:rsidRPr="00AB297B">
        <w:rPr>
          <w:rStyle w:val="Emphasis"/>
          <w:rFonts w:ascii="B Nazanin" w:hAnsi="B Nazanin" w:cs="B Nazanin"/>
          <w:color w:val="000000"/>
          <w:sz w:val="22"/>
          <w:szCs w:val="28"/>
          <w:rtl/>
        </w:rPr>
        <w:t>در: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گزيده مقالات ايفلا: (تركيه: 20- 26 اوت، 1995). زير نظر عباس حري؛ به همت تاج‌الملوك ارجمند. تهران: كتابخانه ملّي جمهوري اسلامي ايران. ص. 269- 286.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زارع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پور، رقيه (1373). بررسي ميزان همپوشاني عناوين نشريات ادواري خارجي در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دانشگاه علوم پزشكي شيراز و بيمارستان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تابعه در شهر شيراز طي سال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1992- 1990. پايان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نامۀ كارشناسي ارشد. تهران: دانشگاه تهران، دانشكدۀ روانشناسي و علوم تربيتي.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زارعي، عاطفه (1380). بررسي استفاده از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گستري و شناسايي مشكلات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گستري از ديدگاه مديران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دانشگاه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مجري دورۀ كارشناسي ارشد كتابداري و اطلاع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رساني. پايان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نامۀ كارشناسي ارشد. اهواز: دانشگاه شهيد چمران اهواز، دانشكدۀ علوم تربيتي و روانشناسي.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زندي، هوشنگ (1373). بررسي نظرات مسئولين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 درباره تعاون و اشتراك منابع بين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علوم پزشكي كشور. پايان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نامه كارشناسي ارشد. تهران: دانشگاه علوم پزشكي ايران، دانشكده مديريت و اطلاع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رساني پزشكي.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زنديان، فاطمه (1372). ارزشيابي مجموعۀ منابع مرجع فني و مهندسي در سه دانشگاه ايران. فصلنامۀ كتاب، 2: 211- 241.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سايمون، اليزابت (1996). متخصصان اطلاع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رساني و لزوم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 و ساختارهاي جديد در اين حرفه. ترجمه علي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حسين قاسمي. (1380). </w:t>
      </w:r>
      <w:r w:rsidRPr="00AB297B">
        <w:rPr>
          <w:rStyle w:val="Emphasis"/>
          <w:rFonts w:ascii="B Nazanin" w:hAnsi="B Nazanin" w:cs="B Nazanin"/>
          <w:color w:val="000000"/>
          <w:sz w:val="22"/>
          <w:szCs w:val="28"/>
          <w:rtl/>
        </w:rPr>
        <w:t>در: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چهل و هشتمين كنگره فيد: گزيده مقالات (اتريش: 25- 20 اكتبر، 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lastRenderedPageBreak/>
        <w:t>1996). زير نظر حسين غريبي؛ به همت ملوك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السادات بهشتي. تهران: مركز اطلاعات و مدارك علمي ايران. ص.425- 441. 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سپهر، فرشته (1378). «وضعيّت انتخاب و سفارش نشريات ادواري لاتين در كتابخانه‌هاي مركزي دانشگاه‌هاي كشور». كتابداري، دفتر 30-31. ص. 59-85.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سينايي، علي (1376).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سازي در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ها. تهران: سازمان مطالعه و تدوين كتب علوم انساني دانشگاه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 (سمت).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سينق، اس. پي. (2004). «مديريت مجموعه در محيط الكترونيكي». ترجمه زهرا بتولي (1384). نما (مجله الكترونيكي پژوهشگاه اطلاعات و مدارك علمي ايران)، دورة پنجم، شمارة اول (شهريور).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شادان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پور، فرزانه (1384). «خط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و گسترش مجموعه».- فصلنامة كتاب، دورة شانزدهم، شمارة اول ص. 53-62.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شعباني، احمد (1377). بررسي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سازي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مركزي دانشگاه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ايران و الگوي مناسب براي آن. پايان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نامۀ دكتري. تهران: دانشگاه آزاد، واحد علوم و تحقيقات.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علوي، سهيلا (1372). بررسي وضعيت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دانشكده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اي دانشگاه اروميه. پايان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نامه كارشناسي ارشد. تهران: دانشگاه تهران، دانشكده علوم تربيتي و روانشناسي.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كرو، ويليام جي. (2002). توسعۀ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آرشيوي و تخصصي در عصر الكترونيك. در: لي، سول اچ (ويراستار). منابع الكترونيكي و توسعۀ مجموعه كتابخانه. ترجمۀ عليرضا رستمي گومه (1383). تهران: چاپار.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كوهي رستمي، منصور (1386). مقايسۀ وضعيت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مجموعه‌گستري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مركزي دانشگاه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تحت نظارت وزارت علوم، تحقيقات وفناوري و وزارت بهداشت، درمان و آموزش پزشكي. پايان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نامۀ كارشناسي ارشد. اهواز: دانشگاه شهيد چمران اهواز، دانشكدۀ علوم تربيتي. 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كيد، توني (1997). مديريت مجلات الكترونيكي: برخي مسائل و راه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حل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ها. ترجمه جواد بشيري (1378). فصلنامۀ اطلاع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رساني. دوره چهاردهم، شمارۀ سوم و چهارم (بهار و تابستان). قابل دسترسي در:</w:t>
      </w:r>
    </w:p>
    <w:p w:rsidR="00AB297B" w:rsidRPr="00AB297B" w:rsidRDefault="00AB297B" w:rsidP="00AB297B">
      <w:pPr>
        <w:ind w:firstLine="567"/>
        <w:rPr>
          <w:rFonts w:ascii="B Nazanin" w:hAnsi="B Nazanin" w:cs="B Nazanin"/>
          <w:color w:val="000000"/>
          <w:sz w:val="22"/>
          <w:szCs w:val="18"/>
          <w:rtl/>
        </w:rPr>
      </w:pPr>
      <w:hyperlink r:id="rId6" w:history="1">
        <w:r w:rsidRPr="00AB297B">
          <w:rPr>
            <w:rStyle w:val="Hyperlink"/>
            <w:rFonts w:ascii="B Nazanin" w:hAnsi="B Nazanin" w:cs="B Nazanin"/>
            <w:color w:val="auto"/>
            <w:sz w:val="22"/>
          </w:rPr>
          <w:t>http://www.irandoc.ac.ir/etela-art/14/14-3&amp;4-10.htm</w:t>
        </w:r>
      </w:hyperlink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ـ ليندن، فردريك سي. (1996). اشتراك منابع: امكان گذار از اطلاعات كاغذي به اطلاعات الكترونيكي. ترجمه عباس گيلوري. (1380). </w:t>
      </w:r>
      <w:r w:rsidRPr="00AB297B">
        <w:rPr>
          <w:rStyle w:val="Emphasis"/>
          <w:rFonts w:ascii="B Nazanin" w:hAnsi="B Nazanin" w:cs="B Nazanin"/>
          <w:color w:val="000000"/>
          <w:sz w:val="22"/>
          <w:szCs w:val="28"/>
          <w:rtl/>
        </w:rPr>
        <w:t>در: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چهل و هشتمين كنگره فيد: گزيده مقالات (اتريش: 25- 20 اكتبر، 1996). زير نظر حسين غريبي؛ به همت ملوك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السادات بهشتي. تهران: مركز اطلاعات و مدارك علمي ايران. ص. 442- 460.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محسني، حميد (1382).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سازي و خدمات تحويل مدرك. تهران: كتابدار.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ــــــــــــــــــ  ( 1385). مديريت مجلات. تهران: كتابدار.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محقق، نيلوفر (1375). بررسي وضعيت مبادله اطلاعات و منابع ميان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دانشگاهي شهر تهران. پايان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نامه كارشناسي ارشد. تهران: دانشگاه تهران، دانشكده روانشناسي و علوم تربيتي.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lastRenderedPageBreak/>
        <w:t>ـ ميثمي، رقيه و زهره ميرحسيني (1385). «تعيين هزينه- اثربخشي منابع الكترونيكي در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تخصصي شهر تهران». فصلنامه علوم و فناوري اطلاعات، 21(4، تابستان)، 41-64.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واگل، كريستين دي (1378). ادغام منابع الكترونيك در خط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مشي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سازي. ترجمۀ گل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نساء گليني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مقدم. فصلنامۀ كتابداري و اطلاع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رساني. شمارۀ 2: 105- 120.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ويكري، جيم (1995). فراهم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آوري در عصر الكترونيك، يا، مباني دستيابي به اطلاعات. ترجمه مهوش بهنام. (1375). </w:t>
      </w:r>
      <w:r w:rsidRPr="00AB297B">
        <w:rPr>
          <w:rStyle w:val="Emphasis"/>
          <w:rFonts w:ascii="B Nazanin" w:hAnsi="B Nazanin" w:cs="B Nazanin"/>
          <w:color w:val="000000"/>
          <w:sz w:val="22"/>
          <w:szCs w:val="28"/>
          <w:rtl/>
        </w:rPr>
        <w:t>در: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گزيده مقالات ايفلا: (تركيه: 20- 26 اوت، 1995). زير نظر عباس حري؛ به همت تاج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الملوك ارجمند. تهران: كتابخانه ملّي جمهوري اسلامي ايران. ص. 108- 118.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>ـ هاشم‌زاده، محمدجواد (1375). «تحليل سياست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>هاي گزينش نشريات ادواري لاتين در كتابخانه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softHyphen/>
        <w:t xml:space="preserve">هاي مركزي دانشگاهي ايران». </w:t>
      </w:r>
      <w:r w:rsidRPr="00AB297B">
        <w:rPr>
          <w:rStyle w:val="Strong"/>
          <w:rFonts w:ascii="B Nazanin" w:hAnsi="B Nazanin" w:cs="B Nazanin"/>
          <w:color w:val="000000"/>
          <w:sz w:val="22"/>
          <w:rtl/>
        </w:rPr>
        <w:t>فصلنامه اطلاع</w:t>
      </w:r>
      <w:r w:rsidRPr="00AB297B">
        <w:rPr>
          <w:rStyle w:val="Strong"/>
          <w:rFonts w:ascii="B Nazanin" w:hAnsi="B Nazanin" w:cs="B Nazanin"/>
          <w:color w:val="000000"/>
          <w:sz w:val="22"/>
          <w:rtl/>
        </w:rPr>
        <w:softHyphen/>
        <w:t>رساني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>، دورة يازدهم، شماره چهارم، 46-52.</w:t>
      </w:r>
    </w:p>
    <w:p w:rsidR="00AB297B" w:rsidRPr="00AB297B" w:rsidRDefault="00AB297B" w:rsidP="00AB297B">
      <w:pPr>
        <w:ind w:firstLine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ـ يانگر، جنيفر (2002). </w:t>
      </w:r>
      <w:r w:rsidRPr="00AB297B">
        <w:rPr>
          <w:rStyle w:val="Strong"/>
          <w:rFonts w:ascii="B Nazanin" w:hAnsi="B Nazanin" w:cs="B Nazanin"/>
          <w:color w:val="000000"/>
          <w:sz w:val="22"/>
          <w:rtl/>
        </w:rPr>
        <w:t>ديدگاه سازماني دربارۀ منابع الكترونيكي و توسعۀ مجموعه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. </w:t>
      </w:r>
      <w:r w:rsidRPr="00AB297B">
        <w:rPr>
          <w:rStyle w:val="Emphasis"/>
          <w:rFonts w:ascii="B Nazanin" w:hAnsi="B Nazanin" w:cs="B Nazanin"/>
          <w:color w:val="000000"/>
          <w:sz w:val="22"/>
          <w:szCs w:val="28"/>
          <w:rtl/>
        </w:rPr>
        <w:t>در:</w:t>
      </w:r>
      <w:r w:rsidRPr="00AB297B">
        <w:rPr>
          <w:rFonts w:ascii="B Nazanin" w:hAnsi="B Nazanin" w:cs="B Nazanin"/>
          <w:color w:val="000000"/>
          <w:sz w:val="22"/>
          <w:szCs w:val="28"/>
          <w:rtl/>
        </w:rPr>
        <w:t xml:space="preserve"> لي، سول اچ (ويراستار). منابع الكترونيكي و توسعۀ مجموعه كتابخانه. ترجمۀ عليرضا رستمي گومه (1383). تهران: چاپار.</w:t>
      </w:r>
    </w:p>
    <w:p w:rsidR="00AB297B" w:rsidRPr="00AB297B" w:rsidRDefault="00AB297B" w:rsidP="00AB297B">
      <w:pPr>
        <w:ind w:hanging="567"/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</w:rPr>
        <w:t xml:space="preserve">- Agee, Jim (2005). Collection Evaluation: a Foundation for Collection Development. </w:t>
      </w:r>
      <w:proofErr w:type="gramStart"/>
      <w:r w:rsidRPr="00AB297B">
        <w:rPr>
          <w:rFonts w:ascii="B Nazanin" w:hAnsi="B Nazanin" w:cs="B Nazanin"/>
          <w:color w:val="000000"/>
          <w:sz w:val="22"/>
        </w:rPr>
        <w:t>Collection Building.</w:t>
      </w:r>
      <w:proofErr w:type="gramEnd"/>
      <w:r w:rsidRPr="00AB297B">
        <w:rPr>
          <w:rFonts w:ascii="B Nazanin" w:hAnsi="B Nazanin" w:cs="B Nazanin"/>
          <w:color w:val="000000"/>
          <w:sz w:val="22"/>
        </w:rPr>
        <w:t xml:space="preserve"> </w:t>
      </w:r>
      <w:proofErr w:type="gramStart"/>
      <w:r w:rsidRPr="00AB297B">
        <w:rPr>
          <w:rFonts w:ascii="B Nazanin" w:hAnsi="B Nazanin" w:cs="B Nazanin"/>
          <w:color w:val="000000"/>
          <w:sz w:val="22"/>
        </w:rPr>
        <w:t>24(3), 92- 95.</w:t>
      </w:r>
      <w:proofErr w:type="gramEnd"/>
    </w:p>
    <w:p w:rsidR="00AB297B" w:rsidRPr="00AB297B" w:rsidRDefault="00AB297B" w:rsidP="00AB297B">
      <w:pPr>
        <w:ind w:hanging="567"/>
        <w:jc w:val="lowKashida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</w:rPr>
        <w:t xml:space="preserve">- American Library Association (1989). </w:t>
      </w:r>
      <w:proofErr w:type="gramStart"/>
      <w:r w:rsidRPr="00AB297B">
        <w:rPr>
          <w:rFonts w:ascii="B Nazanin" w:hAnsi="B Nazanin" w:cs="B Nazanin"/>
          <w:color w:val="000000"/>
          <w:sz w:val="22"/>
        </w:rPr>
        <w:t>Guide for Written Collection Policy Statements.</w:t>
      </w:r>
      <w:proofErr w:type="gramEnd"/>
      <w:r w:rsidRPr="00AB297B">
        <w:rPr>
          <w:rFonts w:ascii="B Nazanin" w:hAnsi="B Nazanin" w:cs="B Nazanin"/>
          <w:color w:val="000000"/>
          <w:sz w:val="22"/>
        </w:rPr>
        <w:t xml:space="preserve"> Chicago: ALA.</w:t>
      </w:r>
    </w:p>
    <w:p w:rsidR="00AB297B" w:rsidRPr="00AB297B" w:rsidRDefault="00AB297B" w:rsidP="00AB297B">
      <w:pPr>
        <w:ind w:hanging="567"/>
        <w:jc w:val="lowKashida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</w:rPr>
        <w:t xml:space="preserve">- </w:t>
      </w:r>
      <w:proofErr w:type="spellStart"/>
      <w:r w:rsidRPr="00AB297B">
        <w:rPr>
          <w:rFonts w:ascii="B Nazanin" w:hAnsi="B Nazanin" w:cs="B Nazanin"/>
          <w:color w:val="000000"/>
          <w:sz w:val="22"/>
        </w:rPr>
        <w:t>Dilevko</w:t>
      </w:r>
      <w:proofErr w:type="spellEnd"/>
      <w:r w:rsidRPr="00AB297B">
        <w:rPr>
          <w:rFonts w:ascii="B Nazanin" w:hAnsi="B Nazanin" w:cs="B Nazanin"/>
          <w:color w:val="000000"/>
          <w:sz w:val="22"/>
        </w:rPr>
        <w:t xml:space="preserve">, J. &amp; Gottlieb, L. (2002). Print Sources in an </w:t>
      </w:r>
      <w:proofErr w:type="spellStart"/>
      <w:r w:rsidRPr="00AB297B">
        <w:rPr>
          <w:rFonts w:ascii="B Nazanin" w:hAnsi="B Nazanin" w:cs="B Nazanin"/>
          <w:color w:val="000000"/>
          <w:sz w:val="22"/>
        </w:rPr>
        <w:t>Electronical</w:t>
      </w:r>
      <w:proofErr w:type="spellEnd"/>
      <w:r w:rsidRPr="00AB297B">
        <w:rPr>
          <w:rFonts w:ascii="B Nazanin" w:hAnsi="B Nazanin" w:cs="B Nazanin"/>
          <w:color w:val="000000"/>
          <w:sz w:val="22"/>
        </w:rPr>
        <w:t xml:space="preserve"> Age: Vital Part of Research Process for Undergraduate Students. </w:t>
      </w:r>
      <w:proofErr w:type="gramStart"/>
      <w:r w:rsidRPr="00AB297B">
        <w:rPr>
          <w:rFonts w:ascii="B Nazanin" w:hAnsi="B Nazanin" w:cs="B Nazanin"/>
          <w:color w:val="000000"/>
          <w:sz w:val="22"/>
        </w:rPr>
        <w:t>The Journal of Academic Librarianship.</w:t>
      </w:r>
      <w:proofErr w:type="gramEnd"/>
      <w:r w:rsidRPr="00AB297B">
        <w:rPr>
          <w:rFonts w:ascii="B Nazanin" w:hAnsi="B Nazanin" w:cs="B Nazanin"/>
          <w:color w:val="000000"/>
          <w:sz w:val="22"/>
        </w:rPr>
        <w:t xml:space="preserve"> 28(6), 381-392. </w:t>
      </w:r>
    </w:p>
    <w:p w:rsidR="00AB297B" w:rsidRPr="00AB297B" w:rsidRDefault="00AB297B" w:rsidP="00AB297B">
      <w:pPr>
        <w:ind w:hanging="567"/>
        <w:jc w:val="lowKashida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</w:rPr>
        <w:t>- Evans, E. (2000).Basics of Management for Information Professionals. New York: Neal-Schuman Publishers.</w:t>
      </w:r>
    </w:p>
    <w:p w:rsidR="00AB297B" w:rsidRPr="00AB297B" w:rsidRDefault="00AB297B" w:rsidP="00AB297B">
      <w:pPr>
        <w:ind w:hanging="567"/>
        <w:jc w:val="lowKashida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</w:rPr>
        <w:t xml:space="preserve">- </w:t>
      </w:r>
      <w:proofErr w:type="spellStart"/>
      <w:r w:rsidRPr="00AB297B">
        <w:rPr>
          <w:rFonts w:ascii="B Nazanin" w:hAnsi="B Nazanin" w:cs="B Nazanin"/>
          <w:color w:val="000000"/>
          <w:sz w:val="22"/>
        </w:rPr>
        <w:t>Futas</w:t>
      </w:r>
      <w:proofErr w:type="spellEnd"/>
      <w:r w:rsidRPr="00AB297B">
        <w:rPr>
          <w:rFonts w:ascii="B Nazanin" w:hAnsi="B Nazanin" w:cs="B Nazanin"/>
          <w:color w:val="000000"/>
          <w:sz w:val="22"/>
        </w:rPr>
        <w:t xml:space="preserve">, Elizabeth (1995). </w:t>
      </w:r>
      <w:proofErr w:type="gramStart"/>
      <w:r w:rsidRPr="00AB297B">
        <w:rPr>
          <w:rFonts w:ascii="B Nazanin" w:hAnsi="B Nazanin" w:cs="B Nazanin"/>
          <w:color w:val="000000"/>
          <w:sz w:val="22"/>
        </w:rPr>
        <w:t>Collection Development Policies and Procedures.</w:t>
      </w:r>
      <w:proofErr w:type="gramEnd"/>
      <w:r w:rsidRPr="00AB297B">
        <w:rPr>
          <w:rFonts w:ascii="B Nazanin" w:hAnsi="B Nazanin" w:cs="B Nazanin"/>
          <w:color w:val="000000"/>
          <w:sz w:val="22"/>
        </w:rPr>
        <w:t xml:space="preserve"> </w:t>
      </w:r>
      <w:proofErr w:type="gramStart"/>
      <w:r w:rsidRPr="00AB297B">
        <w:rPr>
          <w:rFonts w:ascii="B Nazanin" w:hAnsi="B Nazanin" w:cs="B Nazanin"/>
          <w:color w:val="000000"/>
          <w:sz w:val="22"/>
        </w:rPr>
        <w:t>Third Edition.</w:t>
      </w:r>
      <w:proofErr w:type="gramEnd"/>
      <w:r w:rsidRPr="00AB297B">
        <w:rPr>
          <w:rFonts w:ascii="B Nazanin" w:hAnsi="B Nazanin" w:cs="B Nazanin"/>
          <w:color w:val="000000"/>
          <w:sz w:val="22"/>
        </w:rPr>
        <w:t xml:space="preserve"> Phoenix, Arizona: Oryx Press.</w:t>
      </w:r>
    </w:p>
    <w:p w:rsidR="00AB297B" w:rsidRPr="00AB297B" w:rsidRDefault="00AB297B" w:rsidP="00AB297B">
      <w:pPr>
        <w:ind w:hanging="567"/>
        <w:jc w:val="lowKashida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</w:rPr>
        <w:t>- Johnson, Peggy (1994). Writing Collection development policy statements: getting started. Technicalities, 14 (10), 2-5.</w:t>
      </w:r>
    </w:p>
    <w:p w:rsidR="00AB297B" w:rsidRPr="00AB297B" w:rsidRDefault="00AB297B" w:rsidP="00AB297B">
      <w:pPr>
        <w:ind w:hanging="567"/>
        <w:jc w:val="lowKashida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</w:rPr>
        <w:t xml:space="preserve">- </w:t>
      </w:r>
      <w:proofErr w:type="spellStart"/>
      <w:r w:rsidRPr="00AB297B">
        <w:rPr>
          <w:rFonts w:ascii="B Nazanin" w:hAnsi="B Nazanin" w:cs="B Nazanin"/>
          <w:color w:val="000000"/>
          <w:sz w:val="22"/>
        </w:rPr>
        <w:t>Kortelainen</w:t>
      </w:r>
      <w:proofErr w:type="spellEnd"/>
      <w:r w:rsidRPr="00AB297B">
        <w:rPr>
          <w:rFonts w:ascii="B Nazanin" w:hAnsi="B Nazanin" w:cs="B Nazanin"/>
          <w:color w:val="000000"/>
          <w:sz w:val="22"/>
        </w:rPr>
        <w:t xml:space="preserve">, </w:t>
      </w:r>
      <w:proofErr w:type="spellStart"/>
      <w:r w:rsidRPr="00AB297B">
        <w:rPr>
          <w:rFonts w:ascii="B Nazanin" w:hAnsi="B Nazanin" w:cs="B Nazanin"/>
          <w:color w:val="000000"/>
          <w:sz w:val="22"/>
        </w:rPr>
        <w:t>Terttu</w:t>
      </w:r>
      <w:proofErr w:type="spellEnd"/>
      <w:r w:rsidRPr="00AB297B">
        <w:rPr>
          <w:rFonts w:ascii="B Nazanin" w:hAnsi="B Nazanin" w:cs="B Nazanin"/>
          <w:color w:val="000000"/>
          <w:sz w:val="22"/>
        </w:rPr>
        <w:t xml:space="preserve">. (2004). </w:t>
      </w:r>
      <w:proofErr w:type="gramStart"/>
      <w:r w:rsidRPr="00AB297B">
        <w:rPr>
          <w:rFonts w:ascii="B Nazanin" w:hAnsi="B Nazanin" w:cs="B Nazanin"/>
          <w:color w:val="000000"/>
          <w:sz w:val="22"/>
        </w:rPr>
        <w:t>An</w:t>
      </w:r>
      <w:proofErr w:type="gramEnd"/>
      <w:r w:rsidRPr="00AB297B">
        <w:rPr>
          <w:rFonts w:ascii="B Nazanin" w:hAnsi="B Nazanin" w:cs="B Nazanin"/>
          <w:color w:val="000000"/>
          <w:sz w:val="22"/>
        </w:rPr>
        <w:t xml:space="preserve"> Analysis of the Use of Electronic Journals and Commercial Journal Article Collections through the </w:t>
      </w:r>
      <w:proofErr w:type="spellStart"/>
      <w:r w:rsidRPr="00AB297B">
        <w:rPr>
          <w:rFonts w:ascii="B Nazanin" w:hAnsi="B Nazanin" w:cs="B Nazanin"/>
          <w:color w:val="000000"/>
          <w:sz w:val="22"/>
        </w:rPr>
        <w:t>FinElib</w:t>
      </w:r>
      <w:proofErr w:type="spellEnd"/>
      <w:r w:rsidRPr="00AB297B">
        <w:rPr>
          <w:rFonts w:ascii="B Nazanin" w:hAnsi="B Nazanin" w:cs="B Nazanin"/>
          <w:color w:val="000000"/>
          <w:sz w:val="22"/>
        </w:rPr>
        <w:t xml:space="preserve"> Portal. </w:t>
      </w:r>
      <w:proofErr w:type="gramStart"/>
      <w:r w:rsidRPr="00AB297B">
        <w:rPr>
          <w:rFonts w:ascii="B Nazanin" w:hAnsi="B Nazanin" w:cs="B Nazanin"/>
          <w:color w:val="000000"/>
          <w:sz w:val="22"/>
        </w:rPr>
        <w:t>Information Research.</w:t>
      </w:r>
      <w:proofErr w:type="gramEnd"/>
      <w:r w:rsidRPr="00AB297B">
        <w:rPr>
          <w:rFonts w:ascii="B Nazanin" w:hAnsi="B Nazanin" w:cs="B Nazanin"/>
          <w:color w:val="000000"/>
          <w:sz w:val="22"/>
        </w:rPr>
        <w:t xml:space="preserve"> </w:t>
      </w:r>
      <w:proofErr w:type="gramStart"/>
      <w:r w:rsidRPr="00AB297B">
        <w:rPr>
          <w:rFonts w:ascii="B Nazanin" w:hAnsi="B Nazanin" w:cs="B Nazanin"/>
          <w:color w:val="000000"/>
          <w:sz w:val="22"/>
        </w:rPr>
        <w:t>9(2).</w:t>
      </w:r>
      <w:proofErr w:type="gramEnd"/>
      <w:r w:rsidRPr="00AB297B">
        <w:rPr>
          <w:rFonts w:ascii="B Nazanin" w:hAnsi="B Nazanin" w:cs="B Nazanin"/>
          <w:color w:val="000000"/>
          <w:sz w:val="22"/>
        </w:rPr>
        <w:t xml:space="preserve"> Available at: </w:t>
      </w:r>
      <w:hyperlink r:id="rId7" w:history="1">
        <w:r w:rsidRPr="00AB297B">
          <w:rPr>
            <w:rStyle w:val="Hyperlink"/>
            <w:rFonts w:ascii="B Nazanin" w:hAnsi="B Nazanin" w:cs="B Nazanin"/>
            <w:color w:val="auto"/>
            <w:sz w:val="22"/>
          </w:rPr>
          <w:t>http://informationr.net/ir/9-2/paper168.html</w:t>
        </w:r>
      </w:hyperlink>
      <w:r w:rsidRPr="00AB297B">
        <w:rPr>
          <w:rFonts w:ascii="B Nazanin" w:hAnsi="B Nazanin" w:cs="B Nazanin"/>
          <w:color w:val="000000"/>
          <w:sz w:val="22"/>
        </w:rPr>
        <w:t xml:space="preserve"> </w:t>
      </w:r>
    </w:p>
    <w:p w:rsidR="00AB297B" w:rsidRPr="00AB297B" w:rsidRDefault="00AB297B" w:rsidP="00AB297B">
      <w:pPr>
        <w:ind w:hanging="567"/>
        <w:jc w:val="lowKashida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</w:rPr>
        <w:t xml:space="preserve">- </w:t>
      </w:r>
      <w:proofErr w:type="spellStart"/>
      <w:r w:rsidRPr="00AB297B">
        <w:rPr>
          <w:rFonts w:ascii="B Nazanin" w:hAnsi="B Nazanin" w:cs="B Nazanin"/>
          <w:color w:val="000000"/>
          <w:sz w:val="22"/>
        </w:rPr>
        <w:t>Osareh</w:t>
      </w:r>
      <w:proofErr w:type="spellEnd"/>
      <w:r w:rsidRPr="00AB297B">
        <w:rPr>
          <w:rFonts w:ascii="B Nazanin" w:hAnsi="B Nazanin" w:cs="B Nazanin"/>
          <w:color w:val="000000"/>
          <w:sz w:val="22"/>
        </w:rPr>
        <w:t xml:space="preserve">, F. (2003) </w:t>
      </w:r>
      <w:proofErr w:type="gramStart"/>
      <w:r w:rsidRPr="00AB297B">
        <w:rPr>
          <w:rFonts w:ascii="B Nazanin" w:hAnsi="B Nazanin" w:cs="B Nazanin"/>
          <w:color w:val="000000"/>
          <w:sz w:val="22"/>
        </w:rPr>
        <w:t>The</w:t>
      </w:r>
      <w:proofErr w:type="gramEnd"/>
      <w:r w:rsidRPr="00AB297B">
        <w:rPr>
          <w:rFonts w:ascii="B Nazanin" w:hAnsi="B Nazanin" w:cs="B Nazanin"/>
          <w:color w:val="000000"/>
          <w:sz w:val="22"/>
        </w:rPr>
        <w:t xml:space="preserve"> use and application of multivariate analysis techniques in </w:t>
      </w:r>
      <w:proofErr w:type="spellStart"/>
      <w:r w:rsidRPr="00AB297B">
        <w:rPr>
          <w:rFonts w:ascii="B Nazanin" w:hAnsi="B Nazanin" w:cs="B Nazanin"/>
          <w:color w:val="000000"/>
          <w:sz w:val="22"/>
        </w:rPr>
        <w:t>bibliometric</w:t>
      </w:r>
      <w:proofErr w:type="spellEnd"/>
      <w:r w:rsidRPr="00AB297B">
        <w:rPr>
          <w:rFonts w:ascii="B Nazanin" w:hAnsi="B Nazanin" w:cs="B Nazanin"/>
          <w:color w:val="000000"/>
          <w:sz w:val="22"/>
        </w:rPr>
        <w:t xml:space="preserve"> and </w:t>
      </w:r>
      <w:proofErr w:type="spellStart"/>
      <w:r w:rsidRPr="00AB297B">
        <w:rPr>
          <w:rFonts w:ascii="B Nazanin" w:hAnsi="B Nazanin" w:cs="B Nazanin"/>
          <w:color w:val="000000"/>
          <w:sz w:val="22"/>
        </w:rPr>
        <w:t>scientometric</w:t>
      </w:r>
      <w:proofErr w:type="spellEnd"/>
      <w:r w:rsidRPr="00AB297B">
        <w:rPr>
          <w:rFonts w:ascii="B Nazanin" w:hAnsi="B Nazanin" w:cs="B Nazanin"/>
          <w:color w:val="000000"/>
          <w:sz w:val="22"/>
        </w:rPr>
        <w:t xml:space="preserve"> studies, Iranian Journal of Information Science and Technology, 1(2): 59-71.</w:t>
      </w:r>
    </w:p>
    <w:p w:rsidR="00AB297B" w:rsidRPr="00AB297B" w:rsidRDefault="00AB297B" w:rsidP="00AB297B">
      <w:pPr>
        <w:ind w:hanging="567"/>
        <w:jc w:val="lowKashida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</w:rPr>
        <w:t xml:space="preserve">- </w:t>
      </w:r>
      <w:proofErr w:type="spellStart"/>
      <w:r w:rsidRPr="00AB297B">
        <w:rPr>
          <w:rFonts w:ascii="B Nazanin" w:hAnsi="B Nazanin" w:cs="B Nazanin"/>
          <w:color w:val="000000"/>
          <w:sz w:val="22"/>
        </w:rPr>
        <w:t>Osareh</w:t>
      </w:r>
      <w:proofErr w:type="spellEnd"/>
      <w:r w:rsidRPr="00AB297B">
        <w:rPr>
          <w:rFonts w:ascii="B Nazanin" w:hAnsi="B Nazanin" w:cs="B Nazanin"/>
          <w:color w:val="000000"/>
          <w:sz w:val="22"/>
        </w:rPr>
        <w:t xml:space="preserve">, F; </w:t>
      </w:r>
      <w:proofErr w:type="spellStart"/>
      <w:r w:rsidRPr="00AB297B">
        <w:rPr>
          <w:rFonts w:ascii="B Nazanin" w:hAnsi="B Nazanin" w:cs="B Nazanin"/>
          <w:color w:val="000000"/>
          <w:sz w:val="22"/>
        </w:rPr>
        <w:t>Mccain</w:t>
      </w:r>
      <w:proofErr w:type="spellEnd"/>
      <w:r w:rsidRPr="00AB297B">
        <w:rPr>
          <w:rFonts w:ascii="B Nazanin" w:hAnsi="B Nazanin" w:cs="B Nazanin"/>
          <w:color w:val="000000"/>
          <w:sz w:val="22"/>
        </w:rPr>
        <w:t xml:space="preserve"> KW (2008). The Structure of Iranian Chemistry Research, 1990- 2008: An Author Co-Citation Analysis. Journal of the American Society for Information Science and Technology, 59 (13): 2146-2155.</w:t>
      </w:r>
    </w:p>
    <w:p w:rsidR="00AB297B" w:rsidRPr="00AB297B" w:rsidRDefault="00AB297B" w:rsidP="00AB297B">
      <w:pPr>
        <w:ind w:hanging="567"/>
        <w:jc w:val="lowKashida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</w:rPr>
        <w:t xml:space="preserve">- </w:t>
      </w:r>
      <w:proofErr w:type="spellStart"/>
      <w:r w:rsidRPr="00AB297B">
        <w:rPr>
          <w:rFonts w:ascii="B Nazanin" w:hAnsi="B Nazanin" w:cs="B Nazanin"/>
          <w:color w:val="000000"/>
          <w:sz w:val="22"/>
        </w:rPr>
        <w:t>Vignau</w:t>
      </w:r>
      <w:proofErr w:type="spellEnd"/>
      <w:r w:rsidRPr="00AB297B">
        <w:rPr>
          <w:rFonts w:ascii="B Nazanin" w:hAnsi="B Nazanin" w:cs="B Nazanin"/>
          <w:color w:val="000000"/>
          <w:sz w:val="22"/>
        </w:rPr>
        <w:t>, Sanchez; Susana, Barbara (2006). Collection development in digital environment: an imperative for information organizations in the twenty first century. Collection Building, 25 (4), pp. 139-144.</w:t>
      </w:r>
    </w:p>
    <w:p w:rsidR="00AB297B" w:rsidRPr="00AB297B" w:rsidRDefault="00AB297B" w:rsidP="00AB297B">
      <w:pPr>
        <w:ind w:hanging="567"/>
        <w:jc w:val="lowKashida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</w:rPr>
        <w:t xml:space="preserve">- Vogel, Kristin D (1996). </w:t>
      </w:r>
      <w:proofErr w:type="gramStart"/>
      <w:r w:rsidRPr="00AB297B">
        <w:rPr>
          <w:rFonts w:ascii="B Nazanin" w:hAnsi="B Nazanin" w:cs="B Nazanin"/>
          <w:color w:val="000000"/>
          <w:sz w:val="22"/>
        </w:rPr>
        <w:t>Integrating Electronic Resource to Collection Policies.</w:t>
      </w:r>
      <w:proofErr w:type="gramEnd"/>
      <w:r w:rsidRPr="00AB297B">
        <w:rPr>
          <w:rFonts w:ascii="B Nazanin" w:hAnsi="B Nazanin" w:cs="B Nazanin"/>
          <w:color w:val="000000"/>
          <w:sz w:val="22"/>
        </w:rPr>
        <w:t xml:space="preserve"> Collection Development, 21 (2): 65-75. </w:t>
      </w:r>
    </w:p>
    <w:p w:rsidR="00AB297B" w:rsidRPr="00AB297B" w:rsidRDefault="00AB297B" w:rsidP="00AB297B">
      <w:pPr>
        <w:ind w:hanging="567"/>
        <w:jc w:val="lowKashida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</w:rPr>
        <w:lastRenderedPageBreak/>
        <w:t xml:space="preserve">- White, Gary W. &amp; Crawford, Gregory A. (1997). </w:t>
      </w:r>
      <w:proofErr w:type="gramStart"/>
      <w:r w:rsidRPr="00AB297B">
        <w:rPr>
          <w:rFonts w:ascii="B Nazanin" w:hAnsi="B Nazanin" w:cs="B Nazanin"/>
          <w:color w:val="000000"/>
          <w:sz w:val="22"/>
        </w:rPr>
        <w:t>Developing an electronic resources Collection development policy.</w:t>
      </w:r>
      <w:proofErr w:type="gramEnd"/>
      <w:r w:rsidRPr="00AB297B">
        <w:rPr>
          <w:rFonts w:ascii="B Nazanin" w:hAnsi="B Nazanin" w:cs="B Nazanin"/>
          <w:color w:val="000000"/>
          <w:sz w:val="22"/>
        </w:rPr>
        <w:t xml:space="preserve"> </w:t>
      </w:r>
      <w:proofErr w:type="gramStart"/>
      <w:r w:rsidRPr="00AB297B">
        <w:rPr>
          <w:rFonts w:ascii="B Nazanin" w:hAnsi="B Nazanin" w:cs="B Nazanin"/>
          <w:color w:val="000000"/>
          <w:sz w:val="22"/>
        </w:rPr>
        <w:t>Asian Libraries.</w:t>
      </w:r>
      <w:proofErr w:type="gramEnd"/>
      <w:r w:rsidRPr="00AB297B">
        <w:rPr>
          <w:rFonts w:ascii="B Nazanin" w:hAnsi="B Nazanin" w:cs="B Nazanin"/>
          <w:color w:val="000000"/>
          <w:sz w:val="22"/>
        </w:rPr>
        <w:t xml:space="preserve"> 6 (1/2), pp. 51-56.</w:t>
      </w:r>
    </w:p>
    <w:p w:rsidR="00AB297B" w:rsidRPr="00AB297B" w:rsidRDefault="00AB297B" w:rsidP="00AB297B">
      <w:pPr>
        <w:ind w:hanging="567"/>
        <w:jc w:val="lowKashida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</w:rPr>
        <w:t xml:space="preserve">- </w:t>
      </w:r>
      <w:hyperlink r:id="rId8" w:history="1">
        <w:r w:rsidRPr="00AB297B">
          <w:rPr>
            <w:rStyle w:val="Hyperlink"/>
            <w:rFonts w:ascii="B Nazanin" w:hAnsi="B Nazanin" w:cs="B Nazanin"/>
            <w:color w:val="auto"/>
            <w:sz w:val="22"/>
          </w:rPr>
          <w:t>www.Unesco.org/webworld/memory/legaldep.htm</w:t>
        </w:r>
      </w:hyperlink>
    </w:p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br w:type="textWrapping" w:clear="all"/>
      </w:r>
    </w:p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pict>
          <v:rect id="_x0000_i1025" style="width:154.45pt;height:.75pt" o:hrpct="330" o:hrstd="t" o:hrnoshade="t" o:hr="t" fillcolor="black" stroked="f"/>
        </w:pict>
      </w:r>
    </w:p>
    <w:bookmarkStart w:id="37" w:name="_ftn1"/>
    <w:p w:rsidR="00AB297B" w:rsidRPr="00AB297B" w:rsidRDefault="00AB297B" w:rsidP="00AB297B">
      <w:pPr>
        <w:jc w:val="lowKashida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instrText xml:space="preserve">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instrText>HYPERLINK "http://www.aqlibrary.org/modules/FCKEditor/pnincludes/editor/fckeditor.html?InstanceName=desc&amp;Toolbar=Default" \l "_ftnref1" \o</w:instrTex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instrText xml:space="preserve"> "" </w:instrTex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  <w:rtl/>
        </w:rPr>
        <w:t>*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fldChar w:fldCharType="end"/>
      </w:r>
      <w:bookmarkEnd w:id="37"/>
      <w:r w:rsidRPr="00AB297B">
        <w:rPr>
          <w:rFonts w:ascii="B Nazanin" w:hAnsi="B Nazanin" w:cs="B Nazanin"/>
          <w:color w:val="000000"/>
          <w:sz w:val="22"/>
          <w:szCs w:val="18"/>
          <w:rtl/>
        </w:rPr>
        <w:t xml:space="preserve"> اين مقاله، برگرفته از پايان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نامه دكتراي كتابداري و اطلاع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رساني با عنوان «ارائه الگوي مديريت منابع الكترونيكي براي كتابخانه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مركزي دانشگاه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هاي دولتي ايران» مي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باشد.</w:t>
      </w:r>
    </w:p>
    <w:p w:rsidR="00AB297B" w:rsidRPr="00AB297B" w:rsidRDefault="00AB297B" w:rsidP="00AB297B">
      <w:pPr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1. استاد گروه كتابداري و اطلاع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 xml:space="preserve">رساني دانشگاه شهيد چمران اهواز </w:t>
      </w:r>
      <w:r w:rsidRPr="00AB297B">
        <w:rPr>
          <w:rFonts w:ascii="B Nazanin" w:hAnsi="B Nazanin" w:cs="B Nazanin"/>
          <w:color w:val="000000"/>
          <w:sz w:val="22"/>
          <w:szCs w:val="18"/>
        </w:rPr>
        <w:t>bigdeli-zahed@yahoo.com</w:t>
      </w:r>
    </w:p>
    <w:p w:rsidR="00AB297B" w:rsidRPr="00AB297B" w:rsidRDefault="00AB297B" w:rsidP="00AB297B">
      <w:pPr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2. استاد گروه كتابداري و اطلاع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 xml:space="preserve">رساني دانشگاه شهيد چمران اهواز </w:t>
      </w:r>
      <w:r w:rsidRPr="00AB297B">
        <w:rPr>
          <w:rFonts w:ascii="B Nazanin" w:hAnsi="B Nazanin" w:cs="B Nazanin"/>
          <w:color w:val="000000"/>
          <w:sz w:val="22"/>
          <w:szCs w:val="18"/>
        </w:rPr>
        <w:t>osareh-f@gmail.com</w:t>
      </w:r>
    </w:p>
    <w:p w:rsidR="00AB297B" w:rsidRPr="00AB297B" w:rsidRDefault="00AB297B" w:rsidP="00AB297B">
      <w:pPr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 xml:space="preserve">3. استاديار گروه مشاوره دانشگاه شهيد چمران اهواز. </w:t>
      </w:r>
    </w:p>
    <w:p w:rsidR="00AB297B" w:rsidRPr="00AB297B" w:rsidRDefault="00AB297B" w:rsidP="00AB297B">
      <w:pPr>
        <w:jc w:val="lowKashida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4. دانشجوي دوره دكتراي كتابداري و اطلاع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رساني دانشگاه شهيد چمران اهواز و عضو هيئت علمي گروه كتابداري و اطلاع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رساني پزشكي دانشگاه علوم پزشكي جندي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 xml:space="preserve">شاپور اهواز </w:t>
      </w:r>
      <w:r w:rsidRPr="00AB297B">
        <w:rPr>
          <w:rFonts w:ascii="B Nazanin" w:hAnsi="B Nazanin" w:cs="B Nazanin"/>
          <w:color w:val="000000"/>
          <w:sz w:val="22"/>
          <w:szCs w:val="18"/>
        </w:rPr>
        <w:t>firoozehz@yahoo.com</w:t>
      </w:r>
    </w:p>
    <w:bookmarkStart w:id="38" w:name="_ftn6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  <w:rtl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"_ftnref6"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[5]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38"/>
      <w:r w:rsidRPr="00AB297B">
        <w:rPr>
          <w:rFonts w:ascii="B Nazanin" w:hAnsi="B Nazanin" w:cs="B Nazanin"/>
          <w:color w:val="000000"/>
          <w:sz w:val="22"/>
          <w:szCs w:val="18"/>
        </w:rPr>
        <w:t xml:space="preserve">. </w:t>
      </w:r>
      <w:proofErr w:type="spellStart"/>
      <w:proofErr w:type="gramStart"/>
      <w:r w:rsidRPr="00AB297B">
        <w:rPr>
          <w:rFonts w:ascii="B Nazanin" w:hAnsi="B Nazanin" w:cs="B Nazanin"/>
          <w:color w:val="000000"/>
          <w:sz w:val="22"/>
          <w:szCs w:val="18"/>
        </w:rPr>
        <w:t>Rosetto</w:t>
      </w:r>
      <w:proofErr w:type="spellEnd"/>
      <w:r w:rsidRPr="00AB297B">
        <w:rPr>
          <w:rFonts w:ascii="B Nazanin" w:hAnsi="B Nazanin" w:cs="B Nazanin"/>
          <w:color w:val="000000"/>
          <w:sz w:val="22"/>
          <w:szCs w:val="18"/>
        </w:rPr>
        <w:t>.</w:t>
      </w:r>
      <w:proofErr w:type="gramEnd"/>
    </w:p>
    <w:bookmarkStart w:id="39" w:name="_ftn7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"_ftnref7"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[6]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39"/>
      <w:r w:rsidRPr="00AB297B">
        <w:rPr>
          <w:rFonts w:ascii="B Nazanin" w:hAnsi="B Nazanin" w:cs="B Nazanin"/>
          <w:color w:val="000000"/>
          <w:sz w:val="22"/>
          <w:szCs w:val="18"/>
        </w:rPr>
        <w:t xml:space="preserve">. </w:t>
      </w:r>
      <w:proofErr w:type="gramStart"/>
      <w:r w:rsidRPr="00AB297B">
        <w:rPr>
          <w:rFonts w:ascii="B Nazanin" w:hAnsi="B Nazanin" w:cs="B Nazanin"/>
          <w:color w:val="000000"/>
          <w:sz w:val="22"/>
          <w:szCs w:val="18"/>
        </w:rPr>
        <w:t>Vickery.</w:t>
      </w:r>
      <w:proofErr w:type="gramEnd"/>
    </w:p>
    <w:bookmarkStart w:id="40" w:name="_ftn8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"_ftnref8"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[7]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40"/>
      <w:r w:rsidRPr="00AB297B">
        <w:rPr>
          <w:rFonts w:ascii="B Nazanin" w:hAnsi="B Nazanin" w:cs="B Nazanin"/>
          <w:color w:val="000000"/>
          <w:sz w:val="22"/>
          <w:szCs w:val="18"/>
        </w:rPr>
        <w:t xml:space="preserve">. </w:t>
      </w:r>
      <w:proofErr w:type="gramStart"/>
      <w:r w:rsidRPr="00AB297B">
        <w:rPr>
          <w:rFonts w:ascii="B Nazanin" w:hAnsi="B Nazanin" w:cs="B Nazanin"/>
          <w:color w:val="000000"/>
          <w:sz w:val="22"/>
          <w:szCs w:val="18"/>
        </w:rPr>
        <w:t>Portability.</w:t>
      </w:r>
      <w:proofErr w:type="gramEnd"/>
    </w:p>
    <w:bookmarkStart w:id="41" w:name="_ftn9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"_ftnref9"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[8]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41"/>
      <w:r w:rsidRPr="00AB297B">
        <w:rPr>
          <w:rFonts w:ascii="B Nazanin" w:hAnsi="B Nazanin" w:cs="B Nazanin"/>
          <w:color w:val="000000"/>
          <w:sz w:val="22"/>
          <w:szCs w:val="18"/>
        </w:rPr>
        <w:t xml:space="preserve">. </w:t>
      </w:r>
      <w:proofErr w:type="gramStart"/>
      <w:r w:rsidRPr="00AB297B">
        <w:rPr>
          <w:rFonts w:ascii="B Nazanin" w:hAnsi="B Nazanin" w:cs="B Nazanin"/>
          <w:color w:val="000000"/>
          <w:sz w:val="22"/>
          <w:szCs w:val="18"/>
        </w:rPr>
        <w:t>Multimedia Capability.</w:t>
      </w:r>
      <w:proofErr w:type="gramEnd"/>
    </w:p>
    <w:bookmarkStart w:id="42" w:name="_ftn10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"_ftnref10"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[9]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42"/>
      <w:r w:rsidRPr="00AB297B">
        <w:rPr>
          <w:rFonts w:ascii="B Nazanin" w:hAnsi="B Nazanin" w:cs="B Nazanin"/>
          <w:color w:val="000000"/>
          <w:sz w:val="22"/>
          <w:szCs w:val="18"/>
        </w:rPr>
        <w:t>. Linden.</w:t>
      </w:r>
    </w:p>
    <w:bookmarkStart w:id="43" w:name="_ftn11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"_ftnref11"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[10]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43"/>
      <w:r w:rsidRPr="00AB297B">
        <w:rPr>
          <w:rFonts w:ascii="B Nazanin" w:hAnsi="B Nazanin" w:cs="B Nazanin"/>
          <w:color w:val="000000"/>
          <w:sz w:val="22"/>
          <w:szCs w:val="18"/>
        </w:rPr>
        <w:t xml:space="preserve">. </w:t>
      </w:r>
      <w:proofErr w:type="gramStart"/>
      <w:r w:rsidRPr="00AB297B">
        <w:rPr>
          <w:rFonts w:ascii="B Nazanin" w:hAnsi="B Nazanin" w:cs="B Nazanin"/>
          <w:color w:val="000000"/>
          <w:sz w:val="22"/>
          <w:szCs w:val="18"/>
        </w:rPr>
        <w:t>Server.</w:t>
      </w:r>
      <w:proofErr w:type="gramEnd"/>
    </w:p>
    <w:bookmarkStart w:id="44" w:name="_ftn12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"_ftnref12"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[11]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44"/>
      <w:r w:rsidRPr="00AB297B">
        <w:rPr>
          <w:rFonts w:ascii="B Nazanin" w:hAnsi="B Nazanin" w:cs="B Nazanin"/>
          <w:color w:val="000000"/>
          <w:sz w:val="22"/>
          <w:szCs w:val="18"/>
        </w:rPr>
        <w:t>. Jordan.</w:t>
      </w:r>
    </w:p>
    <w:bookmarkStart w:id="45" w:name="_ftn13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"_ftnref13"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[12]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45"/>
      <w:r w:rsidRPr="00AB297B">
        <w:rPr>
          <w:rFonts w:ascii="B Nazanin" w:hAnsi="B Nazanin" w:cs="B Nazanin"/>
          <w:color w:val="000000"/>
          <w:sz w:val="22"/>
          <w:szCs w:val="18"/>
        </w:rPr>
        <w:t xml:space="preserve">. </w:t>
      </w:r>
      <w:proofErr w:type="gramStart"/>
      <w:r w:rsidRPr="00AB297B">
        <w:rPr>
          <w:rFonts w:ascii="B Nazanin" w:hAnsi="B Nazanin" w:cs="B Nazanin"/>
          <w:color w:val="000000"/>
          <w:sz w:val="22"/>
          <w:szCs w:val="18"/>
        </w:rPr>
        <w:t>User Interface.</w:t>
      </w:r>
      <w:proofErr w:type="gramEnd"/>
    </w:p>
    <w:bookmarkStart w:id="46" w:name="_ftn14"/>
    <w:p w:rsidR="00AB297B" w:rsidRPr="00AB297B" w:rsidRDefault="00AB297B" w:rsidP="00AB297B">
      <w:pPr>
        <w:spacing w:line="216" w:lineRule="auto"/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"_ftnref14"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[13]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46"/>
      <w:r w:rsidRPr="00AB297B">
        <w:rPr>
          <w:rFonts w:ascii="B Nazanin" w:hAnsi="B Nazanin" w:cs="B Nazanin"/>
          <w:color w:val="000000"/>
          <w:sz w:val="22"/>
          <w:szCs w:val="18"/>
        </w:rPr>
        <w:t xml:space="preserve">. </w:t>
      </w:r>
      <w:proofErr w:type="gramStart"/>
      <w:r w:rsidRPr="00AB297B">
        <w:rPr>
          <w:rFonts w:ascii="B Nazanin" w:hAnsi="B Nazanin" w:cs="B Nazanin"/>
          <w:color w:val="000000"/>
          <w:sz w:val="22"/>
          <w:szCs w:val="18"/>
        </w:rPr>
        <w:t>Singh.</w:t>
      </w:r>
      <w:proofErr w:type="gramEnd"/>
    </w:p>
    <w:bookmarkStart w:id="47" w:name="_ftn15"/>
    <w:p w:rsidR="00AB297B" w:rsidRPr="00AB297B" w:rsidRDefault="00AB297B" w:rsidP="00AB297B">
      <w:pPr>
        <w:spacing w:line="216" w:lineRule="auto"/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"_ftnref15"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[14]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47"/>
      <w:r w:rsidRPr="00AB297B">
        <w:rPr>
          <w:rFonts w:ascii="B Nazanin" w:hAnsi="B Nazanin" w:cs="B Nazanin"/>
          <w:color w:val="000000"/>
          <w:sz w:val="22"/>
          <w:szCs w:val="18"/>
        </w:rPr>
        <w:t xml:space="preserve">. </w:t>
      </w:r>
      <w:proofErr w:type="spellStart"/>
      <w:proofErr w:type="gramStart"/>
      <w:r w:rsidRPr="00AB297B">
        <w:rPr>
          <w:rFonts w:ascii="B Nazanin" w:hAnsi="B Nazanin" w:cs="B Nazanin"/>
          <w:color w:val="000000"/>
          <w:sz w:val="22"/>
          <w:szCs w:val="18"/>
        </w:rPr>
        <w:t>Vignua</w:t>
      </w:r>
      <w:proofErr w:type="spellEnd"/>
      <w:r w:rsidRPr="00AB297B">
        <w:rPr>
          <w:rFonts w:ascii="B Nazanin" w:hAnsi="B Nazanin" w:cs="B Nazanin"/>
          <w:color w:val="000000"/>
          <w:sz w:val="22"/>
          <w:szCs w:val="18"/>
        </w:rPr>
        <w:t>.</w:t>
      </w:r>
      <w:proofErr w:type="gramEnd"/>
    </w:p>
    <w:bookmarkStart w:id="48" w:name="_ftn16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"_ftnref16"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[15]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48"/>
      <w:r w:rsidRPr="00AB297B">
        <w:rPr>
          <w:rFonts w:ascii="B Nazanin" w:hAnsi="B Nazanin" w:cs="B Nazanin"/>
          <w:color w:val="000000"/>
          <w:sz w:val="22"/>
          <w:szCs w:val="18"/>
        </w:rPr>
        <w:t>. Johnson.</w:t>
      </w:r>
    </w:p>
    <w:bookmarkStart w:id="49" w:name="_ftn17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"_ftnref17"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[16]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49"/>
      <w:r w:rsidRPr="00AB297B">
        <w:rPr>
          <w:rFonts w:ascii="B Nazanin" w:hAnsi="B Nazanin" w:cs="B Nazanin"/>
          <w:color w:val="000000"/>
          <w:sz w:val="22"/>
          <w:szCs w:val="18"/>
        </w:rPr>
        <w:t xml:space="preserve">. </w:t>
      </w:r>
      <w:proofErr w:type="spellStart"/>
      <w:proofErr w:type="gramStart"/>
      <w:r w:rsidRPr="00AB297B">
        <w:rPr>
          <w:rFonts w:ascii="B Nazanin" w:hAnsi="B Nazanin" w:cs="B Nazanin"/>
          <w:color w:val="000000"/>
          <w:sz w:val="22"/>
          <w:szCs w:val="18"/>
        </w:rPr>
        <w:t>Futas</w:t>
      </w:r>
      <w:proofErr w:type="spellEnd"/>
      <w:r w:rsidRPr="00AB297B">
        <w:rPr>
          <w:rFonts w:ascii="B Nazanin" w:hAnsi="B Nazanin" w:cs="B Nazanin"/>
          <w:color w:val="000000"/>
          <w:sz w:val="22"/>
          <w:szCs w:val="18"/>
        </w:rPr>
        <w:t>.</w:t>
      </w:r>
      <w:proofErr w:type="gramEnd"/>
    </w:p>
    <w:bookmarkStart w:id="50" w:name="_ftn18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"_ftnref18"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[17]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50"/>
      <w:r w:rsidRPr="00AB297B">
        <w:rPr>
          <w:rFonts w:ascii="B Nazanin" w:hAnsi="B Nazanin" w:cs="B Nazanin"/>
          <w:color w:val="000000"/>
          <w:sz w:val="22"/>
          <w:szCs w:val="18"/>
        </w:rPr>
        <w:t>. Simon.</w:t>
      </w:r>
    </w:p>
    <w:bookmarkStart w:id="51" w:name="_ftn19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"_ftnref19"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[18]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51"/>
      <w:r w:rsidRPr="00AB297B">
        <w:rPr>
          <w:rFonts w:ascii="B Nazanin" w:hAnsi="B Nazanin" w:cs="B Nazanin"/>
          <w:color w:val="000000"/>
          <w:sz w:val="22"/>
          <w:szCs w:val="18"/>
        </w:rPr>
        <w:t>. Kidd.</w:t>
      </w:r>
    </w:p>
    <w:bookmarkStart w:id="52" w:name="_ftn20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"_ftnref20"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[19]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52"/>
      <w:r w:rsidRPr="00AB297B">
        <w:rPr>
          <w:rFonts w:ascii="B Nazanin" w:hAnsi="B Nazanin" w:cs="B Nazanin"/>
          <w:color w:val="000000"/>
          <w:sz w:val="22"/>
          <w:szCs w:val="18"/>
        </w:rPr>
        <w:t>. Stewart.</w:t>
      </w:r>
    </w:p>
    <w:bookmarkStart w:id="53" w:name="_ftn21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"_ftnref21"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[20]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53"/>
      <w:r w:rsidRPr="00AB297B">
        <w:rPr>
          <w:rFonts w:ascii="B Nazanin" w:hAnsi="B Nazanin" w:cs="B Nazanin"/>
          <w:color w:val="000000"/>
          <w:sz w:val="22"/>
          <w:szCs w:val="18"/>
        </w:rPr>
        <w:t xml:space="preserve">. </w:t>
      </w:r>
      <w:proofErr w:type="gramStart"/>
      <w:r w:rsidRPr="00AB297B">
        <w:rPr>
          <w:rFonts w:ascii="B Nazanin" w:hAnsi="B Nazanin" w:cs="B Nazanin"/>
          <w:color w:val="000000"/>
          <w:sz w:val="22"/>
          <w:szCs w:val="18"/>
        </w:rPr>
        <w:t>Younger.</w:t>
      </w:r>
      <w:proofErr w:type="gramEnd"/>
    </w:p>
    <w:bookmarkStart w:id="54" w:name="_ftn22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"_ftnref22"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[21]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54"/>
      <w:r w:rsidRPr="00AB297B">
        <w:rPr>
          <w:rFonts w:ascii="B Nazanin" w:hAnsi="B Nazanin" w:cs="B Nazanin"/>
          <w:color w:val="000000"/>
          <w:sz w:val="22"/>
          <w:szCs w:val="18"/>
        </w:rPr>
        <w:t>. Dillon.</w:t>
      </w:r>
    </w:p>
    <w:bookmarkStart w:id="55" w:name="_ftn23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"_ftnref23"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[22]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55"/>
      <w:r w:rsidRPr="00AB297B">
        <w:rPr>
          <w:rFonts w:ascii="B Nazanin" w:hAnsi="B Nazanin" w:cs="B Nazanin"/>
          <w:color w:val="000000"/>
          <w:sz w:val="22"/>
          <w:szCs w:val="18"/>
        </w:rPr>
        <w:t xml:space="preserve">. </w:t>
      </w:r>
      <w:proofErr w:type="gramStart"/>
      <w:r w:rsidRPr="00AB297B">
        <w:rPr>
          <w:rFonts w:ascii="B Nazanin" w:hAnsi="B Nazanin" w:cs="B Nazanin"/>
          <w:color w:val="000000"/>
          <w:sz w:val="22"/>
          <w:szCs w:val="18"/>
        </w:rPr>
        <w:t>Crowe.</w:t>
      </w:r>
      <w:proofErr w:type="gramEnd"/>
    </w:p>
    <w:bookmarkStart w:id="56" w:name="_ftn24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"_ftnref24"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[23]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56"/>
      <w:r w:rsidRPr="00AB297B">
        <w:rPr>
          <w:rFonts w:ascii="B Nazanin" w:hAnsi="B Nazanin" w:cs="B Nazanin"/>
          <w:color w:val="000000"/>
          <w:sz w:val="22"/>
          <w:szCs w:val="18"/>
        </w:rPr>
        <w:t xml:space="preserve">. </w:t>
      </w:r>
      <w:proofErr w:type="spellStart"/>
      <w:proofErr w:type="gramStart"/>
      <w:r w:rsidRPr="00AB297B">
        <w:rPr>
          <w:rFonts w:ascii="B Nazanin" w:hAnsi="B Nazanin" w:cs="B Nazanin"/>
          <w:color w:val="000000"/>
          <w:sz w:val="22"/>
          <w:szCs w:val="18"/>
        </w:rPr>
        <w:t>Kortelainen</w:t>
      </w:r>
      <w:proofErr w:type="spellEnd"/>
      <w:r w:rsidRPr="00AB297B">
        <w:rPr>
          <w:rFonts w:ascii="B Nazanin" w:hAnsi="B Nazanin" w:cs="B Nazanin"/>
          <w:color w:val="000000"/>
          <w:sz w:val="22"/>
          <w:szCs w:val="18"/>
        </w:rPr>
        <w:t>.</w:t>
      </w:r>
      <w:proofErr w:type="gramEnd"/>
    </w:p>
    <w:bookmarkStart w:id="57" w:name="_ftn25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"_ftnref25"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[24]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57"/>
      <w:r w:rsidRPr="00AB297B">
        <w:rPr>
          <w:rFonts w:ascii="B Nazanin" w:hAnsi="B Nazanin" w:cs="B Nazanin"/>
          <w:color w:val="000000"/>
          <w:sz w:val="22"/>
          <w:szCs w:val="18"/>
        </w:rPr>
        <w:t>. Agee.</w:t>
      </w:r>
    </w:p>
    <w:bookmarkStart w:id="58" w:name="_ftn26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"_ftnref26"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[25]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58"/>
      <w:r w:rsidRPr="00AB297B">
        <w:rPr>
          <w:rFonts w:ascii="B Nazanin" w:hAnsi="B Nazanin" w:cs="B Nazanin"/>
          <w:color w:val="000000"/>
          <w:sz w:val="22"/>
          <w:szCs w:val="18"/>
        </w:rPr>
        <w:t xml:space="preserve">. </w:t>
      </w:r>
      <w:proofErr w:type="spellStart"/>
      <w:proofErr w:type="gramStart"/>
      <w:r w:rsidRPr="00AB297B">
        <w:rPr>
          <w:rFonts w:ascii="B Nazanin" w:hAnsi="B Nazanin" w:cs="B Nazanin"/>
          <w:color w:val="000000"/>
          <w:sz w:val="22"/>
          <w:szCs w:val="18"/>
        </w:rPr>
        <w:t>Kovac</w:t>
      </w:r>
      <w:proofErr w:type="spellEnd"/>
      <w:r w:rsidRPr="00AB297B">
        <w:rPr>
          <w:rFonts w:ascii="B Nazanin" w:hAnsi="B Nazanin" w:cs="B Nazanin"/>
          <w:color w:val="000000"/>
          <w:sz w:val="22"/>
          <w:szCs w:val="18"/>
        </w:rPr>
        <w:t xml:space="preserve"> &amp; </w:t>
      </w:r>
      <w:proofErr w:type="spellStart"/>
      <w:r w:rsidRPr="00AB297B">
        <w:rPr>
          <w:rFonts w:ascii="B Nazanin" w:hAnsi="B Nazanin" w:cs="B Nazanin"/>
          <w:color w:val="000000"/>
          <w:sz w:val="22"/>
          <w:szCs w:val="18"/>
        </w:rPr>
        <w:t>Elkorby</w:t>
      </w:r>
      <w:proofErr w:type="spellEnd"/>
      <w:r w:rsidRPr="00AB297B">
        <w:rPr>
          <w:rFonts w:ascii="B Nazanin" w:hAnsi="B Nazanin" w:cs="B Nazanin"/>
          <w:color w:val="000000"/>
          <w:sz w:val="22"/>
          <w:szCs w:val="18"/>
        </w:rPr>
        <w:t>.</w:t>
      </w:r>
      <w:proofErr w:type="gramEnd"/>
      <w:r w:rsidRPr="00AB297B">
        <w:rPr>
          <w:rFonts w:ascii="B Nazanin" w:hAnsi="B Nazanin" w:cs="B Nazanin"/>
          <w:color w:val="000000"/>
          <w:sz w:val="22"/>
          <w:szCs w:val="18"/>
        </w:rPr>
        <w:t xml:space="preserve"> </w:t>
      </w:r>
    </w:p>
    <w:bookmarkStart w:id="59" w:name="_ftn27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"_ftnref27"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[26]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59"/>
      <w:r w:rsidRPr="00AB297B">
        <w:rPr>
          <w:rFonts w:ascii="B Nazanin" w:hAnsi="B Nazanin" w:cs="B Nazanin"/>
          <w:color w:val="000000"/>
          <w:sz w:val="22"/>
          <w:szCs w:val="18"/>
        </w:rPr>
        <w:t xml:space="preserve">. </w:t>
      </w:r>
      <w:proofErr w:type="gramStart"/>
      <w:r w:rsidRPr="00AB297B">
        <w:rPr>
          <w:rFonts w:ascii="B Nazanin" w:hAnsi="B Nazanin" w:cs="B Nazanin"/>
          <w:color w:val="000000"/>
          <w:sz w:val="22"/>
          <w:szCs w:val="18"/>
        </w:rPr>
        <w:t>Hazen.</w:t>
      </w:r>
      <w:proofErr w:type="gramEnd"/>
    </w:p>
    <w:bookmarkStart w:id="60" w:name="_ftn28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"_ftnref28"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[27]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60"/>
      <w:r w:rsidRPr="00AB297B">
        <w:rPr>
          <w:rFonts w:ascii="B Nazanin" w:hAnsi="B Nazanin" w:cs="B Nazanin"/>
          <w:color w:val="000000"/>
          <w:sz w:val="22"/>
          <w:szCs w:val="18"/>
        </w:rPr>
        <w:t xml:space="preserve">. </w:t>
      </w:r>
      <w:proofErr w:type="gramStart"/>
      <w:r w:rsidRPr="00AB297B">
        <w:rPr>
          <w:rFonts w:ascii="B Nazanin" w:hAnsi="B Nazanin" w:cs="B Nazanin"/>
          <w:color w:val="000000"/>
          <w:sz w:val="22"/>
          <w:szCs w:val="18"/>
        </w:rPr>
        <w:t>The Collection Development Policies Committee.</w:t>
      </w:r>
      <w:proofErr w:type="gramEnd"/>
      <w:r w:rsidRPr="00AB297B">
        <w:rPr>
          <w:rFonts w:ascii="B Nazanin" w:hAnsi="B Nazanin" w:cs="B Nazanin"/>
          <w:color w:val="000000"/>
          <w:sz w:val="22"/>
          <w:szCs w:val="18"/>
        </w:rPr>
        <w:t> </w:t>
      </w:r>
    </w:p>
    <w:bookmarkStart w:id="61" w:name="_ftn29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"_ftnref29"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[28]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61"/>
      <w:r w:rsidRPr="00AB297B">
        <w:rPr>
          <w:rFonts w:ascii="B Nazanin" w:hAnsi="B Nazanin" w:cs="B Nazanin"/>
          <w:color w:val="000000"/>
          <w:sz w:val="22"/>
          <w:szCs w:val="18"/>
        </w:rPr>
        <w:t xml:space="preserve">. </w:t>
      </w:r>
      <w:proofErr w:type="gramStart"/>
      <w:r w:rsidRPr="00AB297B">
        <w:rPr>
          <w:rFonts w:ascii="B Nazanin" w:hAnsi="B Nazanin" w:cs="B Nazanin"/>
          <w:color w:val="000000"/>
          <w:sz w:val="22"/>
          <w:szCs w:val="18"/>
        </w:rPr>
        <w:t>Collection Development &amp; Evaluation Section.</w:t>
      </w:r>
      <w:proofErr w:type="gramEnd"/>
      <w:r w:rsidRPr="00AB297B">
        <w:rPr>
          <w:rFonts w:ascii="B Nazanin" w:hAnsi="B Nazanin" w:cs="B Nazanin"/>
          <w:color w:val="000000"/>
          <w:sz w:val="22"/>
          <w:szCs w:val="18"/>
        </w:rPr>
        <w:t xml:space="preserve">   </w:t>
      </w:r>
    </w:p>
    <w:bookmarkStart w:id="62" w:name="_ftn30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"_ftnref30"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[29]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62"/>
      <w:r w:rsidRPr="00AB297B">
        <w:rPr>
          <w:rFonts w:ascii="B Nazanin" w:hAnsi="B Nazanin" w:cs="B Nazanin"/>
          <w:color w:val="000000"/>
          <w:sz w:val="22"/>
          <w:szCs w:val="18"/>
        </w:rPr>
        <w:t xml:space="preserve">. </w:t>
      </w:r>
      <w:proofErr w:type="gramStart"/>
      <w:r w:rsidRPr="00AB297B">
        <w:rPr>
          <w:rFonts w:ascii="B Nazanin" w:hAnsi="B Nazanin" w:cs="B Nazanin"/>
          <w:color w:val="000000"/>
          <w:sz w:val="22"/>
          <w:szCs w:val="18"/>
        </w:rPr>
        <w:t>American Library Association.</w:t>
      </w:r>
      <w:proofErr w:type="gramEnd"/>
      <w:r w:rsidRPr="00AB297B">
        <w:rPr>
          <w:rFonts w:ascii="B Nazanin" w:hAnsi="B Nazanin" w:cs="B Nazanin"/>
          <w:color w:val="000000"/>
          <w:sz w:val="22"/>
          <w:szCs w:val="18"/>
        </w:rPr>
        <w:t xml:space="preserve"> </w:t>
      </w:r>
    </w:p>
    <w:bookmarkStart w:id="63" w:name="_ftn31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"_ftnref31"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[30]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63"/>
      <w:r w:rsidRPr="00AB297B">
        <w:rPr>
          <w:rFonts w:ascii="B Nazanin" w:hAnsi="B Nazanin" w:cs="B Nazanin"/>
          <w:color w:val="000000"/>
          <w:sz w:val="22"/>
          <w:szCs w:val="18"/>
        </w:rPr>
        <w:t xml:space="preserve">. </w:t>
      </w:r>
      <w:proofErr w:type="spellStart"/>
      <w:r w:rsidRPr="00AB297B">
        <w:rPr>
          <w:rFonts w:ascii="B Nazanin" w:hAnsi="B Nazanin" w:cs="B Nazanin"/>
          <w:color w:val="000000"/>
          <w:sz w:val="22"/>
          <w:szCs w:val="18"/>
        </w:rPr>
        <w:t>Likert</w:t>
      </w:r>
      <w:proofErr w:type="spellEnd"/>
      <w:r w:rsidRPr="00AB297B">
        <w:rPr>
          <w:rFonts w:ascii="B Nazanin" w:hAnsi="B Nazanin" w:cs="B Nazanin"/>
          <w:color w:val="000000"/>
          <w:sz w:val="22"/>
          <w:szCs w:val="18"/>
        </w:rPr>
        <w:t xml:space="preserve"> Scale.</w:t>
      </w:r>
    </w:p>
    <w:bookmarkStart w:id="64" w:name="_ftn32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"_ftnref32"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[31]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64"/>
      <w:r w:rsidRPr="00AB297B">
        <w:rPr>
          <w:rFonts w:ascii="B Nazanin" w:hAnsi="B Nazanin" w:cs="B Nazanin"/>
          <w:color w:val="000000"/>
          <w:sz w:val="22"/>
          <w:szCs w:val="18"/>
        </w:rPr>
        <w:t xml:space="preserve">. </w:t>
      </w:r>
      <w:proofErr w:type="gramStart"/>
      <w:r w:rsidRPr="00AB297B">
        <w:rPr>
          <w:rFonts w:ascii="B Nazanin" w:hAnsi="B Nazanin" w:cs="B Nazanin"/>
          <w:color w:val="000000"/>
          <w:sz w:val="22"/>
          <w:szCs w:val="18"/>
        </w:rPr>
        <w:t>Factor Analysis.</w:t>
      </w:r>
      <w:proofErr w:type="gramEnd"/>
    </w:p>
    <w:bookmarkStart w:id="65" w:name="_ftn33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"_ftnref33"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[32]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65"/>
      <w:r w:rsidRPr="00AB297B">
        <w:rPr>
          <w:rFonts w:ascii="B Nazanin" w:hAnsi="B Nazanin" w:cs="B Nazanin"/>
          <w:color w:val="000000"/>
          <w:sz w:val="22"/>
          <w:szCs w:val="18"/>
        </w:rPr>
        <w:t>. Friedman Test.</w:t>
      </w:r>
    </w:p>
    <w:bookmarkStart w:id="66" w:name="_ftn34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lastRenderedPageBreak/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"_ftnref34"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[33]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66"/>
      <w:r w:rsidRPr="00AB297B">
        <w:rPr>
          <w:rFonts w:ascii="B Nazanin" w:hAnsi="B Nazanin" w:cs="B Nazanin"/>
          <w:color w:val="000000"/>
          <w:sz w:val="22"/>
          <w:szCs w:val="18"/>
        </w:rPr>
        <w:t>. Principal Component Analysis.</w:t>
      </w:r>
    </w:p>
    <w:bookmarkStart w:id="67" w:name="_ftn35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"_ftnref35"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[34]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67"/>
      <w:r w:rsidRPr="00AB297B">
        <w:rPr>
          <w:rFonts w:ascii="B Nazanin" w:hAnsi="B Nazanin" w:cs="B Nazanin"/>
          <w:color w:val="000000"/>
          <w:sz w:val="22"/>
          <w:szCs w:val="18"/>
        </w:rPr>
        <w:t>.</w:t>
      </w:r>
      <w:proofErr w:type="spellStart"/>
      <w:r w:rsidRPr="00AB297B">
        <w:rPr>
          <w:rFonts w:ascii="B Nazanin" w:hAnsi="B Nazanin" w:cs="B Nazanin"/>
          <w:color w:val="000000"/>
          <w:sz w:val="22"/>
          <w:szCs w:val="18"/>
        </w:rPr>
        <w:t>Varimax</w:t>
      </w:r>
      <w:proofErr w:type="spellEnd"/>
      <w:r w:rsidRPr="00AB297B">
        <w:rPr>
          <w:rFonts w:ascii="B Nazanin" w:hAnsi="B Nazanin" w:cs="B Nazanin"/>
          <w:color w:val="000000"/>
          <w:sz w:val="22"/>
          <w:szCs w:val="18"/>
        </w:rPr>
        <w:t>.</w:t>
      </w:r>
    </w:p>
    <w:bookmarkStart w:id="68" w:name="_ftn36"/>
    <w:p w:rsidR="00AB297B" w:rsidRPr="00AB297B" w:rsidRDefault="00AB297B" w:rsidP="00AB297B">
      <w:pPr>
        <w:jc w:val="both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</w:rPr>
        <w:fldChar w:fldCharType="begin"/>
      </w:r>
      <w:r w:rsidRPr="00AB297B">
        <w:rPr>
          <w:rFonts w:ascii="B Nazanin" w:hAnsi="B Nazanin" w:cs="B Nazanin"/>
          <w:color w:val="000000"/>
          <w:sz w:val="22"/>
          <w:szCs w:val="18"/>
        </w:rPr>
        <w:instrText xml:space="preserve"> HYPERLINK "http://www.aqlibrary.org/modules/FCKEditor/pnincludes/editor/fckeditor.html?InstanceName=desc&amp;Toolbar=Default" \l "_ftnref36" \o "" </w:instrTex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separate"/>
      </w:r>
      <w:r w:rsidRPr="00AB297B">
        <w:rPr>
          <w:rStyle w:val="Hyperlink"/>
          <w:rFonts w:ascii="B Nazanin" w:hAnsi="B Nazanin" w:cs="B Nazanin"/>
          <w:sz w:val="22"/>
        </w:rPr>
        <w:t>[35]</w:t>
      </w:r>
      <w:r w:rsidRPr="00AB297B">
        <w:rPr>
          <w:rFonts w:ascii="B Nazanin" w:hAnsi="B Nazanin" w:cs="B Nazanin"/>
          <w:color w:val="000000"/>
          <w:sz w:val="22"/>
          <w:szCs w:val="18"/>
        </w:rPr>
        <w:fldChar w:fldCharType="end"/>
      </w:r>
      <w:bookmarkEnd w:id="68"/>
      <w:r w:rsidRPr="00AB297B">
        <w:rPr>
          <w:rFonts w:ascii="B Nazanin" w:hAnsi="B Nazanin" w:cs="B Nazanin"/>
          <w:color w:val="000000"/>
          <w:sz w:val="22"/>
          <w:szCs w:val="18"/>
        </w:rPr>
        <w:t xml:space="preserve">. </w:t>
      </w:r>
      <w:proofErr w:type="gramStart"/>
      <w:r w:rsidRPr="00AB297B">
        <w:rPr>
          <w:rFonts w:ascii="B Nazanin" w:hAnsi="B Nazanin" w:cs="B Nazanin"/>
          <w:color w:val="000000"/>
          <w:sz w:val="22"/>
          <w:szCs w:val="18"/>
        </w:rPr>
        <w:t>Orthogonal.</w:t>
      </w:r>
      <w:proofErr w:type="gramEnd"/>
    </w:p>
    <w:p w:rsidR="00AB297B" w:rsidRDefault="00AB297B" w:rsidP="00AB297B">
      <w:pPr>
        <w:jc w:val="lowKashida"/>
        <w:rPr>
          <w:rFonts w:ascii="B Nazanin" w:hAnsi="B Nazanin" w:cs="B Nazanin"/>
          <w:color w:val="000000"/>
          <w:sz w:val="22"/>
          <w:szCs w:val="18"/>
        </w:rPr>
      </w:pPr>
      <w:r w:rsidRPr="00AB297B">
        <w:rPr>
          <w:rFonts w:ascii="B Nazanin" w:hAnsi="B Nazanin" w:cs="B Nazanin"/>
          <w:color w:val="000000"/>
          <w:sz w:val="22"/>
          <w:szCs w:val="18"/>
          <w:rtl/>
        </w:rPr>
        <w:t>1. خط ممتد نشان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دهندة ضريب همبستگي بيش از 40/0 و خط منقطع نشان</w:t>
      </w:r>
      <w:r w:rsidRPr="00AB297B">
        <w:rPr>
          <w:rFonts w:ascii="B Nazanin" w:hAnsi="B Nazanin" w:cs="B Nazanin"/>
          <w:color w:val="000000"/>
          <w:sz w:val="22"/>
          <w:szCs w:val="18"/>
          <w:rtl/>
        </w:rPr>
        <w:softHyphen/>
        <w:t>دهندة ضريب همبستگي بيش از 35/0 است.</w:t>
      </w:r>
    </w:p>
    <w:p w:rsidR="00E21C08" w:rsidRPr="00AB297B" w:rsidRDefault="00E21C08" w:rsidP="00AB297B">
      <w:pPr>
        <w:rPr>
          <w:rFonts w:ascii="B Nazanin" w:hAnsi="B Nazanin" w:cs="B Nazanin"/>
          <w:sz w:val="22"/>
          <w:szCs w:val="22"/>
        </w:rPr>
      </w:pPr>
    </w:p>
    <w:sectPr w:rsidR="00E21C08" w:rsidRPr="00AB297B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D5F"/>
    <w:multiLevelType w:val="multilevel"/>
    <w:tmpl w:val="6976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959CD"/>
    <w:multiLevelType w:val="multilevel"/>
    <w:tmpl w:val="AD1E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4716"/>
    <w:multiLevelType w:val="multilevel"/>
    <w:tmpl w:val="8F0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2110B"/>
    <w:multiLevelType w:val="multilevel"/>
    <w:tmpl w:val="EA54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90CDA"/>
    <w:multiLevelType w:val="multilevel"/>
    <w:tmpl w:val="899E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470F2"/>
    <w:multiLevelType w:val="multilevel"/>
    <w:tmpl w:val="8C7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A3845"/>
    <w:multiLevelType w:val="multilevel"/>
    <w:tmpl w:val="F422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71740"/>
    <w:multiLevelType w:val="multilevel"/>
    <w:tmpl w:val="6E1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B0B2E"/>
    <w:multiLevelType w:val="multilevel"/>
    <w:tmpl w:val="0762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E663A"/>
    <w:multiLevelType w:val="multilevel"/>
    <w:tmpl w:val="0F5A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474469"/>
    <w:multiLevelType w:val="multilevel"/>
    <w:tmpl w:val="7242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32600"/>
    <w:multiLevelType w:val="multilevel"/>
    <w:tmpl w:val="33A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A3703"/>
    <w:multiLevelType w:val="multilevel"/>
    <w:tmpl w:val="58FE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0773EE"/>
    <w:multiLevelType w:val="multilevel"/>
    <w:tmpl w:val="6E1A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B1DC7"/>
    <w:multiLevelType w:val="multilevel"/>
    <w:tmpl w:val="48E4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F615D"/>
    <w:multiLevelType w:val="multilevel"/>
    <w:tmpl w:val="FE0E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F00001"/>
    <w:multiLevelType w:val="multilevel"/>
    <w:tmpl w:val="C3B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76EBE"/>
    <w:multiLevelType w:val="multilevel"/>
    <w:tmpl w:val="6AA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6"/>
  </w:num>
  <w:num w:numId="10">
    <w:abstractNumId w:val="8"/>
  </w:num>
  <w:num w:numId="11">
    <w:abstractNumId w:val="14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B0B"/>
    <w:rsid w:val="0000276C"/>
    <w:rsid w:val="000073E2"/>
    <w:rsid w:val="00007BF1"/>
    <w:rsid w:val="0001047A"/>
    <w:rsid w:val="0001316C"/>
    <w:rsid w:val="000137F0"/>
    <w:rsid w:val="00030433"/>
    <w:rsid w:val="00032807"/>
    <w:rsid w:val="00041555"/>
    <w:rsid w:val="00066837"/>
    <w:rsid w:val="00084B3E"/>
    <w:rsid w:val="00090DA6"/>
    <w:rsid w:val="000A22AC"/>
    <w:rsid w:val="000B3858"/>
    <w:rsid w:val="000E1C26"/>
    <w:rsid w:val="000E67D4"/>
    <w:rsid w:val="000F6409"/>
    <w:rsid w:val="00116A8C"/>
    <w:rsid w:val="001252BA"/>
    <w:rsid w:val="001369EA"/>
    <w:rsid w:val="001409C1"/>
    <w:rsid w:val="001503D3"/>
    <w:rsid w:val="00150470"/>
    <w:rsid w:val="001618B9"/>
    <w:rsid w:val="001A6181"/>
    <w:rsid w:val="001B0869"/>
    <w:rsid w:val="001B3EEE"/>
    <w:rsid w:val="001B6510"/>
    <w:rsid w:val="001C29BC"/>
    <w:rsid w:val="001D03AE"/>
    <w:rsid w:val="001D2C81"/>
    <w:rsid w:val="001D3231"/>
    <w:rsid w:val="001E1A82"/>
    <w:rsid w:val="001F0264"/>
    <w:rsid w:val="00224060"/>
    <w:rsid w:val="002314B7"/>
    <w:rsid w:val="002469FC"/>
    <w:rsid w:val="0025329E"/>
    <w:rsid w:val="002674B4"/>
    <w:rsid w:val="00297C9B"/>
    <w:rsid w:val="002A10B1"/>
    <w:rsid w:val="002A3B1A"/>
    <w:rsid w:val="002A7A03"/>
    <w:rsid w:val="002B1406"/>
    <w:rsid w:val="002B219A"/>
    <w:rsid w:val="002C2EA0"/>
    <w:rsid w:val="002C74C3"/>
    <w:rsid w:val="002D4EE0"/>
    <w:rsid w:val="002D7A27"/>
    <w:rsid w:val="00330482"/>
    <w:rsid w:val="00331936"/>
    <w:rsid w:val="00335DA2"/>
    <w:rsid w:val="00347E6D"/>
    <w:rsid w:val="00357708"/>
    <w:rsid w:val="00357BA4"/>
    <w:rsid w:val="003967BF"/>
    <w:rsid w:val="003A4021"/>
    <w:rsid w:val="003A49A0"/>
    <w:rsid w:val="003B277B"/>
    <w:rsid w:val="003B5AD3"/>
    <w:rsid w:val="003E02DB"/>
    <w:rsid w:val="003E5D0A"/>
    <w:rsid w:val="003F0936"/>
    <w:rsid w:val="004130FC"/>
    <w:rsid w:val="00422EC5"/>
    <w:rsid w:val="00424650"/>
    <w:rsid w:val="00424D0A"/>
    <w:rsid w:val="004373BE"/>
    <w:rsid w:val="00452CD4"/>
    <w:rsid w:val="004C161B"/>
    <w:rsid w:val="004D4897"/>
    <w:rsid w:val="00515181"/>
    <w:rsid w:val="00517B67"/>
    <w:rsid w:val="00532794"/>
    <w:rsid w:val="00536510"/>
    <w:rsid w:val="00542643"/>
    <w:rsid w:val="005472E8"/>
    <w:rsid w:val="00550000"/>
    <w:rsid w:val="00553A9C"/>
    <w:rsid w:val="005767BA"/>
    <w:rsid w:val="005D0601"/>
    <w:rsid w:val="005E5162"/>
    <w:rsid w:val="005F14DF"/>
    <w:rsid w:val="0060789E"/>
    <w:rsid w:val="006104F9"/>
    <w:rsid w:val="006116B8"/>
    <w:rsid w:val="00623780"/>
    <w:rsid w:val="00626C9F"/>
    <w:rsid w:val="00642E73"/>
    <w:rsid w:val="00656947"/>
    <w:rsid w:val="00665C1A"/>
    <w:rsid w:val="00690FAC"/>
    <w:rsid w:val="00693E9F"/>
    <w:rsid w:val="006A01A1"/>
    <w:rsid w:val="006B5177"/>
    <w:rsid w:val="006B79BA"/>
    <w:rsid w:val="006C16A4"/>
    <w:rsid w:val="006C5BB0"/>
    <w:rsid w:val="006E6A65"/>
    <w:rsid w:val="0070384C"/>
    <w:rsid w:val="00704F80"/>
    <w:rsid w:val="00713FCA"/>
    <w:rsid w:val="00727755"/>
    <w:rsid w:val="007551C1"/>
    <w:rsid w:val="007650B1"/>
    <w:rsid w:val="007B7784"/>
    <w:rsid w:val="007D1017"/>
    <w:rsid w:val="007E358D"/>
    <w:rsid w:val="007E67FA"/>
    <w:rsid w:val="00803B0B"/>
    <w:rsid w:val="008251EF"/>
    <w:rsid w:val="008315A3"/>
    <w:rsid w:val="00831B4B"/>
    <w:rsid w:val="00834928"/>
    <w:rsid w:val="008540FB"/>
    <w:rsid w:val="00857EAE"/>
    <w:rsid w:val="00893745"/>
    <w:rsid w:val="008E2CED"/>
    <w:rsid w:val="008F606F"/>
    <w:rsid w:val="008F6458"/>
    <w:rsid w:val="00916F69"/>
    <w:rsid w:val="00922DCD"/>
    <w:rsid w:val="009235BA"/>
    <w:rsid w:val="00925B98"/>
    <w:rsid w:val="00937B36"/>
    <w:rsid w:val="009431F3"/>
    <w:rsid w:val="009434B7"/>
    <w:rsid w:val="00960D1E"/>
    <w:rsid w:val="00964588"/>
    <w:rsid w:val="0096513E"/>
    <w:rsid w:val="00970F02"/>
    <w:rsid w:val="00991110"/>
    <w:rsid w:val="00991A95"/>
    <w:rsid w:val="009A0FF7"/>
    <w:rsid w:val="009B0705"/>
    <w:rsid w:val="009B1301"/>
    <w:rsid w:val="009B6626"/>
    <w:rsid w:val="009B7407"/>
    <w:rsid w:val="009D1F07"/>
    <w:rsid w:val="009D3E07"/>
    <w:rsid w:val="009F758E"/>
    <w:rsid w:val="00A06848"/>
    <w:rsid w:val="00A25749"/>
    <w:rsid w:val="00A34A13"/>
    <w:rsid w:val="00A63BF0"/>
    <w:rsid w:val="00A80C88"/>
    <w:rsid w:val="00A909BE"/>
    <w:rsid w:val="00AB297B"/>
    <w:rsid w:val="00AC657A"/>
    <w:rsid w:val="00AD4F85"/>
    <w:rsid w:val="00AE0E6F"/>
    <w:rsid w:val="00AE1578"/>
    <w:rsid w:val="00AE2CE5"/>
    <w:rsid w:val="00AE6FB4"/>
    <w:rsid w:val="00AE78C4"/>
    <w:rsid w:val="00AF6D7A"/>
    <w:rsid w:val="00B06CBB"/>
    <w:rsid w:val="00B11B88"/>
    <w:rsid w:val="00B23C1D"/>
    <w:rsid w:val="00B770DC"/>
    <w:rsid w:val="00B94CA0"/>
    <w:rsid w:val="00BA3FE7"/>
    <w:rsid w:val="00BC6151"/>
    <w:rsid w:val="00BE5695"/>
    <w:rsid w:val="00BF5A04"/>
    <w:rsid w:val="00C00516"/>
    <w:rsid w:val="00C07533"/>
    <w:rsid w:val="00C22650"/>
    <w:rsid w:val="00C302F1"/>
    <w:rsid w:val="00C37806"/>
    <w:rsid w:val="00C42BC8"/>
    <w:rsid w:val="00C4376F"/>
    <w:rsid w:val="00C73766"/>
    <w:rsid w:val="00C8108D"/>
    <w:rsid w:val="00C94FDD"/>
    <w:rsid w:val="00CA087F"/>
    <w:rsid w:val="00CB4A03"/>
    <w:rsid w:val="00CC2F8E"/>
    <w:rsid w:val="00CD4DE6"/>
    <w:rsid w:val="00CE092F"/>
    <w:rsid w:val="00D00CCC"/>
    <w:rsid w:val="00D02E5C"/>
    <w:rsid w:val="00D10313"/>
    <w:rsid w:val="00D318FB"/>
    <w:rsid w:val="00D35377"/>
    <w:rsid w:val="00D51CB2"/>
    <w:rsid w:val="00D60C5D"/>
    <w:rsid w:val="00D70EA5"/>
    <w:rsid w:val="00D769C2"/>
    <w:rsid w:val="00D82A6C"/>
    <w:rsid w:val="00D844EF"/>
    <w:rsid w:val="00D940BE"/>
    <w:rsid w:val="00DC59B6"/>
    <w:rsid w:val="00E00B30"/>
    <w:rsid w:val="00E02CA3"/>
    <w:rsid w:val="00E21C08"/>
    <w:rsid w:val="00E3165F"/>
    <w:rsid w:val="00E3272B"/>
    <w:rsid w:val="00E338EB"/>
    <w:rsid w:val="00E47D3C"/>
    <w:rsid w:val="00E628B7"/>
    <w:rsid w:val="00E6314E"/>
    <w:rsid w:val="00E74E43"/>
    <w:rsid w:val="00EA1BA7"/>
    <w:rsid w:val="00EB40A6"/>
    <w:rsid w:val="00EC6641"/>
    <w:rsid w:val="00EC7190"/>
    <w:rsid w:val="00ED7423"/>
    <w:rsid w:val="00EE0BE4"/>
    <w:rsid w:val="00EF1EA5"/>
    <w:rsid w:val="00F01D18"/>
    <w:rsid w:val="00F0354F"/>
    <w:rsid w:val="00F33A10"/>
    <w:rsid w:val="00F34393"/>
    <w:rsid w:val="00F347A8"/>
    <w:rsid w:val="00F61E88"/>
    <w:rsid w:val="00F70800"/>
    <w:rsid w:val="00F85090"/>
    <w:rsid w:val="00F85A7F"/>
    <w:rsid w:val="00F91354"/>
    <w:rsid w:val="00F9157C"/>
    <w:rsid w:val="00FB1F5D"/>
    <w:rsid w:val="00FD2648"/>
    <w:rsid w:val="00FE00C3"/>
    <w:rsid w:val="00FE2669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/>
      <w:outlineLvl w:val="0"/>
    </w:pPr>
    <w:rPr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/>
      <w:outlineLvl w:val="1"/>
    </w:pPr>
    <w:rPr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/>
      <w:outlineLvl w:val="2"/>
    </w:pPr>
    <w:rPr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/>
      <w:outlineLvl w:val="3"/>
    </w:pPr>
    <w:rPr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/>
      <w:outlineLvl w:val="4"/>
    </w:pPr>
    <w:rPr>
      <w:b/>
      <w:bCs/>
      <w:color w:val="2D58A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unhideWhenUsed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rPr>
      <w:rFonts w:ascii="Tahoma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spacing w:before="41" w:after="122"/>
      <w:ind w:left="41" w:right="41"/>
      <w:textAlignment w:val="top"/>
    </w:pPr>
    <w:rPr>
      <w:rFonts w:ascii="Tahoma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/>
      <w:ind w:right="122"/>
      <w:jc w:val="right"/>
      <w:textAlignment w:val="bottom"/>
    </w:pPr>
    <w:rPr>
      <w:rFonts w:ascii="Tahoma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/>
    </w:pPr>
    <w:rPr>
      <w:rFonts w:ascii="Tahoma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/>
      <w:ind w:right="68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/>
      <w:ind w:left="109"/>
    </w:pPr>
    <w:rPr>
      <w:rFonts w:ascii="Tahoma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/>
      <w:ind w:left="41" w:right="41"/>
    </w:pPr>
    <w:rPr>
      <w:rFonts w:ascii="Tahoma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/>
    </w:pPr>
    <w:rPr>
      <w:rFonts w:ascii="Tahoma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/>
    </w:pPr>
    <w:rPr>
      <w:rFonts w:ascii="Tahoma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/>
      <w:ind w:left="937"/>
    </w:pPr>
    <w:rPr>
      <w:rFonts w:ascii="Tahoma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spacing w:before="100" w:beforeAutospacing="1" w:after="100" w:afterAutospacing="1"/>
      <w:jc w:val="both"/>
      <w:textAlignment w:val="top"/>
    </w:pPr>
    <w:rPr>
      <w:rFonts w:ascii="Tahoma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spacing w:before="100" w:beforeAutospacing="1" w:after="100" w:afterAutospacing="1"/>
      <w:jc w:val="both"/>
    </w:pPr>
    <w:rPr>
      <w:rFonts w:ascii="Tahoma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/>
      <w:textAlignment w:val="bottom"/>
    </w:pPr>
    <w:rPr>
      <w:rFonts w:ascii="Tahoma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/>
    </w:pPr>
    <w:rPr>
      <w:rFonts w:ascii="Tahoma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/>
      <w:textAlignment w:val="bottom"/>
    </w:pPr>
    <w:rPr>
      <w:rFonts w:ascii="Tahoma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/>
      <w:jc w:val="center"/>
    </w:pPr>
    <w:rPr>
      <w:rFonts w:ascii="Tahoma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rPr>
      <w:rFonts w:ascii="Tahoma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/>
    </w:pPr>
    <w:rPr>
      <w:rFonts w:ascii="Tahoma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/>
      <w:ind w:left="68" w:right="68"/>
    </w:pPr>
    <w:rPr>
      <w:rFonts w:ascii="Tahoma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/>
      <w:jc w:val="center"/>
    </w:pPr>
    <w:rPr>
      <w:rFonts w:ascii="Tahoma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/>
      <w:textAlignment w:val="top"/>
    </w:pPr>
    <w:rPr>
      <w:rFonts w:ascii="Tahoma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/>
      <w:textAlignment w:val="top"/>
    </w:pPr>
    <w:rPr>
      <w:rFonts w:ascii="Tahoma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</w:pPr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</w:pPr>
    <w:rPr>
      <w:rFonts w:ascii="Tahoma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/>
    </w:pPr>
    <w:rPr>
      <w:rFonts w:ascii="Tahoma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/>
    </w:pPr>
    <w:rPr>
      <w:rFonts w:ascii="Tahoma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line="204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line="204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</w:pPr>
    <w:rPr>
      <w:rFonts w:ascii="Tahoma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</w:pPr>
    <w:rPr>
      <w:rFonts w:ascii="Tahoma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rPr>
      <w:rFonts w:ascii="Tahoma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  <w:style w:type="paragraph" w:customStyle="1" w:styleId="titles">
    <w:name w:val="titles"/>
    <w:basedOn w:val="Normal"/>
    <w:rsid w:val="00B06CB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abstract">
    <w:name w:val="abstract"/>
    <w:basedOn w:val="Normal"/>
    <w:rsid w:val="00B06CB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5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5C1A"/>
    <w:rPr>
      <w:rFonts w:ascii="Courier New" w:eastAsia="Times New Roman" w:hAnsi="Courier New" w:cs="Courier New"/>
      <w:sz w:val="20"/>
      <w:szCs w:val="20"/>
    </w:rPr>
  </w:style>
  <w:style w:type="paragraph" w:customStyle="1" w:styleId="heads">
    <w:name w:val="heads"/>
    <w:basedOn w:val="Normal"/>
    <w:rsid w:val="00090DA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90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273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169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651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670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0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72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33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193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907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340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031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01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1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7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3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589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3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772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">
          <w:marLeft w:val="0"/>
          <w:marRight w:val="0"/>
          <w:marTop w:val="2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33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2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4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1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57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9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9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8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0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5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8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2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2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7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6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4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609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0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9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68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8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9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7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3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9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3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9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8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0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9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5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1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3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9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9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13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2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46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2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7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4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5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0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3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6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2008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7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57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29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93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9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6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2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76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93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12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61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02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66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33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91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8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02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84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9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16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7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64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59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6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66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03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76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87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1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62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33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9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1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05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0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26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47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19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19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9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07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1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69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7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41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9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01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76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8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70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5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19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93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00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36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18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222334">
                                          <w:marLeft w:val="5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915254">
                                          <w:marLeft w:val="5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92064">
                                          <w:marLeft w:val="5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2270">
                                          <w:marLeft w:val="5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373253">
                                          <w:marLeft w:val="5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77844">
                                          <w:marLeft w:val="5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576496">
                                          <w:marLeft w:val="5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97">
                                          <w:marLeft w:val="5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54999">
                                          <w:marLeft w:val="5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4625">
          <w:marLeft w:val="0"/>
          <w:marRight w:val="0"/>
          <w:marTop w:val="2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68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5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0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1222">
          <w:marLeft w:val="0"/>
          <w:marRight w:val="0"/>
          <w:marTop w:val="2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94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5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5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8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1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0" w:color="auto"/>
          </w:divBdr>
        </w:div>
        <w:div w:id="18230829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7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5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94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18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9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9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9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7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5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8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5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3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9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1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7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847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718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666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593">
          <w:marLeft w:val="0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062">
          <w:marLeft w:val="0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350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36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897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464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470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0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0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4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0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7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25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6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3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9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6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4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3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9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3431">
          <w:marLeft w:val="0"/>
          <w:marRight w:val="0"/>
          <w:marTop w:val="1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2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20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2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1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7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6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632">
          <w:marLeft w:val="-1134"/>
          <w:marRight w:val="-14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5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953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89416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91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01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360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660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14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13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981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097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1460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287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5972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8879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6894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536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8721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704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1961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5973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15149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1667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435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7175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432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64250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867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564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2269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4120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282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2776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603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2290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7240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397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6331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5866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336600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728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829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95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8571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430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316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63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767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661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9378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45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629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86353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6058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33775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734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56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7659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9650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85670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46272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81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5294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0880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6074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9300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178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2829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9745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7858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8428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57396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3926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9549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52737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9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0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519">
          <w:marLeft w:val="0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3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5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9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2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1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2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68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6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2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0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6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5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6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20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24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5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5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9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2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8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5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14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2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9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00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7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4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59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9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7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5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2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4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2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3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4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93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2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04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7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39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3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5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5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9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2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17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1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4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0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2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08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2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2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4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6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0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8318">
          <w:marLeft w:val="0"/>
          <w:marRight w:val="0"/>
          <w:marTop w:val="2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659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24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7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71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3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0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8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5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1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8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1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1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3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9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0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4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5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4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2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3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5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7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9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505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23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142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0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2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1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1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7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4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7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0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8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1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2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8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5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8865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9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2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6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1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1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863">
          <w:marLeft w:val="0"/>
          <w:marRight w:val="0"/>
          <w:marTop w:val="2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0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08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092">
                  <w:marLeft w:val="1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0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84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22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518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982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9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0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472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1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367">
          <w:marLeft w:val="0"/>
          <w:marRight w:val="4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74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34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9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76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41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71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22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50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29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13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59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46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92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webworld/memory/legalde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rmationr.net/ir/9-2/paper16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ndoc.ac.ir/etela-art/14/14-3&amp;4-10.ht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7640</Words>
  <Characters>43552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2012-01-06T21:30:00Z</dcterms:created>
  <dcterms:modified xsi:type="dcterms:W3CDTF">2012-01-06T21:30:00Z</dcterms:modified>
</cp:coreProperties>
</file>