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7B" w:rsidRPr="00AB297B" w:rsidRDefault="00AB297B" w:rsidP="00AB297B">
      <w:pPr>
        <w:rPr>
          <w:rFonts w:ascii="B Nazanin" w:hAnsi="B Nazanin" w:cs="B Nazanin"/>
          <w:color w:val="000000"/>
          <w:sz w:val="22"/>
          <w:szCs w:val="2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نام مقاله:  شناسايي عوامل محوري در تدوين خط مشي مديريت منابع الكترونيكي براي كتابخانه هاي مركزي دانشگاه هاي دولتي ايران  </w:t>
      </w:r>
    </w:p>
    <w:p w:rsidR="00AB297B" w:rsidRPr="00AB297B" w:rsidRDefault="00AB297B" w:rsidP="00AB297B">
      <w:pPr>
        <w:rPr>
          <w:rFonts w:ascii="B Nazanin" w:hAnsi="B Nazanin" w:cs="B Nazanin"/>
          <w:color w:val="000000"/>
          <w:sz w:val="22"/>
          <w:szCs w:val="2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نام نشريه:  فصلنامه كتابداري و اطلاع رساني (اين نشريه در </w:t>
      </w:r>
      <w:r w:rsidRPr="00AB297B">
        <w:rPr>
          <w:rFonts w:ascii="B Nazanin" w:hAnsi="B Nazanin" w:cs="B Nazanin"/>
          <w:color w:val="000000"/>
          <w:sz w:val="22"/>
          <w:szCs w:val="28"/>
        </w:rPr>
        <w:t>www.isc.gov.ir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نمايه مي شود)  </w:t>
      </w:r>
    </w:p>
    <w:p w:rsidR="00AB297B" w:rsidRPr="00AB297B" w:rsidRDefault="00AB297B" w:rsidP="00AB297B">
      <w:pPr>
        <w:rPr>
          <w:rFonts w:ascii="B Nazanin" w:hAnsi="B Nazanin" w:cs="B Nazanin"/>
          <w:color w:val="000000"/>
          <w:sz w:val="22"/>
          <w:szCs w:val="2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شماره نشريه:  52 _ شماره چهارم-جلد 13 </w:t>
      </w:r>
    </w:p>
    <w:p w:rsidR="00AB297B" w:rsidRDefault="00AB297B" w:rsidP="00AB297B">
      <w:pPr>
        <w:rPr>
          <w:rFonts w:ascii="B Nazanin" w:hAnsi="B Nazanin" w:cs="B Nazanin"/>
          <w:color w:val="000000"/>
          <w:sz w:val="22"/>
          <w:szCs w:val="28"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پديدآور:  زاهد بيگدلي، فريده عصاره، غلام رضا رجبي، فيروزه زارع فراشيندي</w:t>
      </w:r>
    </w:p>
    <w:p w:rsid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28"/>
        </w:rPr>
      </w:pP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شناسايي عوامل محوري در تدوين خط‌مشي مديريت منابع الكترونيكي براي كتابخانه‌هاي مركزي دانشگاه‌هاي دولتي ايران</w:t>
      </w:r>
      <w:bookmarkStart w:id="0" w:name="_ftnref1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"_ftn1"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8"/>
          <w:rtl/>
        </w:rPr>
        <w:t>*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0"/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دكتر زاهد بيگدلي</w:t>
      </w:r>
      <w:bookmarkStart w:id="1" w:name="_ftnref2"/>
      <w:r w:rsidRPr="00AB297B">
        <w:rPr>
          <w:rFonts w:ascii="B Nazanin" w:hAnsi="B Nazanin" w:cs="B Nazanin"/>
          <w:color w:val="000000"/>
          <w:sz w:val="22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</w:rPr>
        <w:instrText>HYPERLINK "http://www.aqlibrary.org/modules/FCKEditor/pnincludes/editor/fckeditor.html?InstanceName=desc&amp;Toolbar=Default" \l "_ftn2" \o</w:instrText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[1]</w:t>
      </w:r>
      <w:r w:rsidRPr="00AB297B">
        <w:rPr>
          <w:rFonts w:ascii="B Nazanin" w:hAnsi="B Nazanin" w:cs="B Nazanin"/>
          <w:color w:val="000000"/>
          <w:sz w:val="22"/>
          <w:rtl/>
        </w:rPr>
        <w:fldChar w:fldCharType="end"/>
      </w:r>
      <w:bookmarkEnd w:id="1"/>
      <w:r w:rsidRPr="00AB297B">
        <w:rPr>
          <w:rFonts w:ascii="B Nazanin" w:hAnsi="B Nazanin" w:cs="B Nazanin"/>
          <w:color w:val="000000"/>
          <w:sz w:val="22"/>
          <w:rtl/>
        </w:rPr>
        <w:t xml:space="preserve"> </w:t>
      </w:r>
    </w:p>
    <w:p w:rsidR="00AB297B" w:rsidRPr="00AB297B" w:rsidRDefault="00AB297B" w:rsidP="00AB297B">
      <w:pPr>
        <w:ind w:firstLine="567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دكتر فريده عصاره</w:t>
      </w:r>
      <w:bookmarkStart w:id="2" w:name="_ftnref3"/>
      <w:r w:rsidRPr="00AB297B">
        <w:rPr>
          <w:rFonts w:ascii="B Nazanin" w:hAnsi="B Nazanin" w:cs="B Nazanin"/>
          <w:color w:val="000000"/>
          <w:sz w:val="22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</w:rPr>
        <w:instrText>HYPERLINK "http://www.aqlibrary.org/modules/FCKEditor/pnincludes/editor/fckeditor.html?InstanceName=desc&amp;Toolbar=Default" \l "_ftn3" \o</w:instrText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[2]</w:t>
      </w:r>
      <w:r w:rsidRPr="00AB297B">
        <w:rPr>
          <w:rFonts w:ascii="B Nazanin" w:hAnsi="B Nazanin" w:cs="B Nazanin"/>
          <w:color w:val="000000"/>
          <w:sz w:val="22"/>
          <w:rtl/>
        </w:rPr>
        <w:fldChar w:fldCharType="end"/>
      </w:r>
      <w:bookmarkEnd w:id="2"/>
      <w:r w:rsidRPr="00AB297B">
        <w:rPr>
          <w:rFonts w:ascii="B Nazanin" w:hAnsi="B Nazanin" w:cs="B Nazanin"/>
          <w:color w:val="000000"/>
          <w:sz w:val="22"/>
          <w:rtl/>
        </w:rPr>
        <w:t xml:space="preserve"> </w:t>
      </w:r>
    </w:p>
    <w:p w:rsidR="00AB297B" w:rsidRPr="00AB297B" w:rsidRDefault="00AB297B" w:rsidP="00AB297B">
      <w:pPr>
        <w:ind w:firstLine="567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دكتر غلامرضا رجبي</w:t>
      </w:r>
      <w:bookmarkStart w:id="3" w:name="_ftnref4"/>
      <w:r w:rsidRPr="00AB297B">
        <w:rPr>
          <w:rFonts w:ascii="B Nazanin" w:hAnsi="B Nazanin" w:cs="B Nazanin"/>
          <w:color w:val="000000"/>
          <w:sz w:val="22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</w:rPr>
        <w:instrText>HYPERLINK "http://www.aqlibrary.org/modules/FCKEditor/pnincludes/editor/fckeditor.html?InstanceName=desc&amp;Toolbar=Default" \l "_ftn4" \o</w:instrText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[3]</w:t>
      </w:r>
      <w:r w:rsidRPr="00AB297B">
        <w:rPr>
          <w:rFonts w:ascii="B Nazanin" w:hAnsi="B Nazanin" w:cs="B Nazanin"/>
          <w:color w:val="000000"/>
          <w:sz w:val="22"/>
          <w:rtl/>
        </w:rPr>
        <w:fldChar w:fldCharType="end"/>
      </w:r>
      <w:bookmarkEnd w:id="3"/>
      <w:r w:rsidRPr="00AB297B">
        <w:rPr>
          <w:rFonts w:ascii="B Nazanin" w:hAnsi="B Nazanin" w:cs="B Nazanin"/>
          <w:color w:val="000000"/>
          <w:sz w:val="22"/>
          <w:rtl/>
        </w:rPr>
        <w:t xml:space="preserve"> </w:t>
      </w:r>
    </w:p>
    <w:p w:rsidR="00AB297B" w:rsidRPr="00AB297B" w:rsidRDefault="00AB297B" w:rsidP="00AB297B">
      <w:pPr>
        <w:ind w:firstLine="567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فيروزه زارع فراشبندي</w:t>
      </w:r>
      <w:bookmarkStart w:id="4" w:name="_ftnref5"/>
      <w:r w:rsidRPr="00AB297B">
        <w:rPr>
          <w:rFonts w:ascii="B Nazanin" w:hAnsi="B Nazanin" w:cs="B Nazanin"/>
          <w:color w:val="000000"/>
          <w:sz w:val="22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</w:rPr>
        <w:instrText>HYPERLINK "http://www.aqlibrary.org/modules/FCKEditor/pnincludes/editor/fckeditor.html?InstanceName=desc&amp;Toolbar=Default" \l "_ftn5" \o</w:instrText>
      </w:r>
      <w:r w:rsidRPr="00AB297B">
        <w:rPr>
          <w:rFonts w:ascii="B Nazanin" w:hAnsi="B Nazanin" w:cs="B Nazanin"/>
          <w:color w:val="000000"/>
          <w:sz w:val="22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[4]</w:t>
      </w:r>
      <w:r w:rsidRPr="00AB297B">
        <w:rPr>
          <w:rFonts w:ascii="B Nazanin" w:hAnsi="B Nazanin" w:cs="B Nazanin"/>
          <w:color w:val="000000"/>
          <w:sz w:val="22"/>
          <w:rtl/>
        </w:rPr>
        <w:fldChar w:fldCharType="end"/>
      </w:r>
      <w:bookmarkEnd w:id="4"/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چكيده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هدف از پژوهش حاضر، تعيين مؤلفه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اصلي و رئوس مطالب به منظور تدوين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مديريت منابع الكترونيكي براي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دولتي ايران است. نوع پژوهش كيفي- كاربردي، و روش آن پيمايشي است. ابزار پژوهش، پرسشنامة محقق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ساخته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اي است كه بين مديران 112 كتابخانه مركزي وابسته به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دولتي توزيع شده است. يافته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 نشان داد از نظر مديران مذكور، دست كم وجود 9 عامل در تدوين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مديريت منابع الكترونيكي براي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مورد بررسي ضروري است و بايد در آن لحاظ شود. اين 9 عامل به ترتيب واريانس تبيين شده، عبارتند از: مسائل مربوط به دسترسي، مباحث فني و تخصصي، نيازسنجي از كاربران، بيان رسالت، هدفها و مسائل مالي، اجرا و بازنگري در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مشي، مسائل مربوط به ديجيتال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سازي، معيارهاي انتخاب منابع الكترونيكي، مقدمه و تعريفهاي مربوط به انواع منابع الكترونيكي، و نيروي انساني. از نتايج مهم اين پژوهش مي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توان به روابط دروني بين عوامل 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گانه اشاره كرد كه در مدلي عيني اين روابط و تأثيرگذاري دو جانبه آنها بر يكديگر ترسيم شده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 xml:space="preserve"> است. پيشنهاد مي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شود تهيه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كنندگان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مديريت منابع الكترونيكي در تدوين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به اين عوامل و تأثير و تأثر آنان بر همديگر به شكل خاص توجه كنند.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كليدواژه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ها: مديريت منابع الكترونيكي،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مشي، مجموعه‌سازي،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ايران، خط مشي منابع الكترونيكي.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مقدمه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امروزه دگرگونيهاي بسياري در روشهاي توليد، انتقال و استفاده از دانش بشري رخ داده كه اهميت محملهاي سنّتي آن مانند كتاب چاپي، مجله و پيايندها را كم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رنگ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تر كرده است. افزايش انتشارات الكترونيكي كه محملها و امكانات دسترسي ديگري به اطلاعات فراهم آورده،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را ناچار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سازد به منظور گنجانيدن اين محصولات جديد در مجموعه خود، در الگوهاي مديريتي خويش بازنگري كنند (روستو</w:t>
      </w:r>
      <w:bookmarkStart w:id="5" w:name="_ftnref6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"_ftn6"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[5]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5"/>
      <w:r w:rsidRPr="00AB297B">
        <w:rPr>
          <w:rFonts w:ascii="B Nazanin" w:hAnsi="B Nazanin" w:cs="B Nazanin"/>
          <w:color w:val="000000"/>
          <w:sz w:val="22"/>
          <w:szCs w:val="18"/>
          <w:rtl/>
        </w:rPr>
        <w:t>، 1995).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با رواج روزافزون بازار فناوريهاي نوين و رسانه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الكترونيكي، بازنگري در امر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و نقش واحدهاي سنّتي دست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اندركار اين امر، اجتناب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ناپذير است. اكنون با توجه به جايگزيني رويكرد مفهوم دسترسي به اطلاعات به جاي مالكيت آن، نقش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و مديريت مجموعه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تغيير كرده است. مشكلات خاص تهيه انتشارات الكترونيكي، دستيابي به اطلاعات موجود در شبكه‌هاي اطلاعاتي و استفادة كامل و مناسب از متخصصان امر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در محيطهاي جديد، از جمله مباحث نيازمند توجه در مديريت مجموعه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هاست (ويكري</w:t>
      </w:r>
      <w:bookmarkStart w:id="6" w:name="_ftnref7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"_ftn7"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[6]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6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، 1995).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از سوي ديگر، مديريت صحيح منابع اطلاعاتي در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ها، در گرو تدوين سياست و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گستري جامعي است كه همه رسانه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اطّلاعاتي را پوشش دهد و ميان منابع چاپي و الكترونيكي تعادل برقرار نمايد. امروزه براي بسياري از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اين سؤال مطرح است كه آيا منابع الكترونيكي بايد جايگزين مواد سنّتي شوند؟ علاقه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مندان به منابع الكترونيكي مزاياي متعددي مانند: سهولت انتقال</w:t>
      </w:r>
      <w:bookmarkStart w:id="7" w:name="_ftnref8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"_ftn8"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[7]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7"/>
      <w:r w:rsidRPr="00AB297B">
        <w:rPr>
          <w:rFonts w:ascii="B Nazanin" w:hAnsi="B Nazanin" w:cs="B Nazanin"/>
          <w:color w:val="000000"/>
          <w:sz w:val="22"/>
          <w:szCs w:val="18"/>
          <w:rtl/>
        </w:rPr>
        <w:t>، امكان انتقال اطلاعات به صورت چندرسانه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اي</w:t>
      </w:r>
      <w:bookmarkStart w:id="8" w:name="_ftnref9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"_ftn9"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[8]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8"/>
      <w:r w:rsidRPr="00AB297B">
        <w:rPr>
          <w:rFonts w:ascii="B Nazanin" w:hAnsi="B Nazanin" w:cs="B Nazanin"/>
          <w:color w:val="000000"/>
          <w:sz w:val="22"/>
          <w:szCs w:val="18"/>
          <w:rtl/>
        </w:rPr>
        <w:t xml:space="preserve">، ارسال و دريافت فوري (بدون محدوديت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lastRenderedPageBreak/>
        <w:t>مكاني)، تعدد نقاط دسترسي به محتواي منابع الكترونيكي بدون محدوديتهاي بازيابي اطلاعات در منابع چاپي، انتقال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پذيري به پايگاه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اطلاعاتي شخصي، كاهش هزينه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صحافي، ذخيره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سازي و بازيابي اطلاعات از آنها براي منابع الكترونيكي قايل هستند (ليندن</w:t>
      </w:r>
      <w:bookmarkStart w:id="9" w:name="_ftnref10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"_ftn10"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[9]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9"/>
      <w:r w:rsidRPr="00AB297B">
        <w:rPr>
          <w:rFonts w:ascii="B Nazanin" w:hAnsi="B Nazanin" w:cs="B Nazanin"/>
          <w:color w:val="000000"/>
          <w:sz w:val="22"/>
          <w:szCs w:val="18"/>
          <w:rtl/>
        </w:rPr>
        <w:t>، 1996). با وجود اين مزايا، روشهاي انتخاب و فراهم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آوري مواد الكترونيكي هنوز به بررسي و آزمايش در محيطهاي گوناگون نياز دارد و به كارگيري معيارها و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مشخّص براي انتخاب اين‌گونه مواد، نيازي است كه به شدّت احساس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شود.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تعيين اصولي براي انتخاب منابع الكترونيكي مانع حذف منابع كليدي در كتابخانه و تجمع نامتناسب اين منابع در كتابخانه مي‌شود. فايدۀ ديگر اين امر، دفاع كتابخانه از تخصيص بودجه و تعيين اولويتهاي مالي كتابخانه در برابر كساني است كه يا در مقابل فناوريهاي جديد مقاومت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كنند و يا اعتقاد دارند بودجۀ منابع چاپي نبايد صرف منابع الكترونيكي شود، زيرا در آينده نزديك دانشگاه مجبور است بودجۀ جداگانه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اي براي اين منابع در نظر گيرد.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اكنون با رشد روز افزون منابع الكترونيكي اين سؤال به ذهن خطور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كند كه سياستهاي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 دربارة اين گونه منابع، چگونه در خط‌مشي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گستري آنها منعكس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شود؟ در حال حاضر، بسياري از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 نسبت به تهيه منابع الكترونيكي براي مجموعۀ خود دقت كافي به خرج مي‌دهند، اما به نظر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رسد تهيۀ اين مواد هر چند ممكن است تابع الگويي نانوشته باشد، از اصولي مكتوب و داراي برنامه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ريزي پيروي نمي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كند. چنين به نظر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رسد كه در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ايران، به لزوم داشتن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گستري چنان كه بايد و شايد توجه نشده است (سينايي، 1376؛ زارعي، 1380؛ كوهي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 رستمي، 1386).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تدوين يك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مشي،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 نيازمند مطالعه، تفحّص، دقت و برنامه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ريزي است، حال آن كه با توجه به كمبود نيروي انساني در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از يك سو و آشنا نبودن برخي از مسئولان دانشگاه با وظايف و هدفهاي كتابخانه از سوي ديگر و دلايل عمدۀ ديگري همچون مشكلات اداري ـ مالي و مشكلات مديريتي (زارعي،1380) شاهد فقدان انگيزه يا اقدام در جهت تهيه و تدوين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براي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 هستيم. در چنين حالتي، چه بايد كرد؟ به نظر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رسد در صورت نبود يك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اختصاصي مدوّن كه توسط هر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 تهيه شده باشد، بتوان از الگويي كلي و انعطاف‌پذير پيروي نمود. چنين الگويي ممكن است توسط يك سازمان ملّي مانند كتابخانۀ ملّي تهيه شود يا گروهي از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يا پژوهشي آن را تدوين نمايند و يا در نتيجۀ پژوهش تخصصي در حوزۀ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رساني، به دست آيد. در اين صورت، گروهي از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توانند در عين پيروي از يك الگوي واحد، در موارد خاص و بسته به نياز خود، به تصميم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گيريهاي متفاوت نيز اقدام كنند.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با توجه به آنچه گفته شد، اين پژوهش بر آن است تا از طريق نظرسنجي از مديران فعلي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دولتي ايران، در خصوص مؤلفه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اصلي رايج در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مشي‌هاي مديريت منابع الكترونيكي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جهان، عوامل و مؤلفه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اصلي رايج در تدوين يك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مديريت منابع الكترونيكي براي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 را شناسايي كند و در اختيار اين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قرار دهد.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اهميت و ضرورت چنين پژوهشي در دلايل ذيل نهفته است: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1.</w:t>
      </w:r>
      <w:r w:rsidRPr="00AB297B">
        <w:rPr>
          <w:rFonts w:ascii="B Nazanin" w:hAnsi="B Nazanin" w:cs="B Nazanin"/>
          <w:color w:val="000000"/>
          <w:sz w:val="22"/>
          <w:szCs w:val="14"/>
          <w:rtl/>
        </w:rPr>
        <w:t xml:space="preserve">   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t>محقق در بررسي اوليۀ خود بر روي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علوم پزشكي ايران دريافت كه اغلب آنان فاقد هرگونه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(مدوّن يا غيرمدوّن، چه در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سازي و چه به صورت كلي) هستند. براي مثال، «كوهي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رستمي» (1386) در بررسي وضعيت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گستري (غير از منابع الكترونيكي) در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تحت پوشش وزارت علوم و وزارت بهداشت دريافت كه7/37% از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داراي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مكتوبمي‌باشند، 4/34% خط‌مشي شفاهي دارند و 9/27% فاقد هرگونه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مشخص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گستري هستند. با توّجه به اين‌كه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شفاهي، جنبۀ عملي و رسمي ندارد، هنوز حداقل تقريباً نزديك به يك دوم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وزارت علوم و بيش از سه‌چهارم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وزارت بهداشت،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مشي مجموعه‌گستري هستند.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2.</w:t>
      </w:r>
      <w:r w:rsidRPr="00AB297B">
        <w:rPr>
          <w:rFonts w:ascii="B Nazanin" w:hAnsi="B Nazanin" w:cs="B Nazanin"/>
          <w:color w:val="000000"/>
          <w:sz w:val="22"/>
          <w:szCs w:val="14"/>
          <w:rtl/>
        </w:rPr>
        <w:t xml:space="preserve">   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t>از يك سو، افزايش قيمت منابع بويژه مجله‌هاي پژوهشي و در كنار آن كاهش بودجۀ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و از سوي ديگر، افزايش تمايل به استفاده و تهيه منابع الكترونيكي، ضرورت تهيۀ يك الگوي مناسب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سازي جهت ايجاد توازن در مجموعه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ايران را آشكار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كند.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3.</w:t>
      </w:r>
      <w:r w:rsidRPr="00AB297B">
        <w:rPr>
          <w:rFonts w:ascii="B Nazanin" w:hAnsi="B Nazanin" w:cs="B Nazanin"/>
          <w:color w:val="000000"/>
          <w:sz w:val="22"/>
          <w:szCs w:val="14"/>
          <w:rtl/>
        </w:rPr>
        <w:t xml:space="preserve">   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t>تا به حال هيچ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گونه پژوهشي در زمينة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 مديريت مجموعه منابع الكترونيكي در كتابخانه‌هاي دانشگاهي ايران صورت نگرفته است.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4.</w:t>
      </w:r>
      <w:r w:rsidRPr="00AB297B">
        <w:rPr>
          <w:rFonts w:ascii="B Nazanin" w:hAnsi="B Nazanin" w:cs="B Nazanin"/>
          <w:color w:val="000000"/>
          <w:sz w:val="22"/>
          <w:szCs w:val="14"/>
          <w:rtl/>
        </w:rPr>
        <w:t xml:space="preserve">   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t>با وجود اين كه مبحث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سازي و مديريت مجموعه زيربناي خدمات هر كتابخانه است، در پايان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مقاطع ارشد و دكتراي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رساني كمتر به اين موضوع توجه شده است. تحقيقات انجام شده نيز بيشتر در زمينه ارزيابي مجموعه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فعلي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بوده است.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rtl/>
        </w:rPr>
        <w:t>5.</w:t>
      </w:r>
      <w:r w:rsidRPr="00AB297B">
        <w:rPr>
          <w:rFonts w:ascii="B Nazanin" w:hAnsi="B Nazanin" w:cs="B Nazanin"/>
          <w:color w:val="000000"/>
          <w:sz w:val="22"/>
          <w:szCs w:val="14"/>
          <w:rtl/>
        </w:rPr>
        <w:t xml:space="preserve">    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t>تدوين الگوي مناسب مديريت منابع الكترونيكي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تواند كمك مؤثري در دستيابي كتابخانه به رسالت اصلي آن، يعني دسترسي سريع و آسان مراجعان كتابخانه به اطلاعات مناسب، در زمان و مكان مناسب باشد.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پيشينه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پس از سال 1380، بتدريج ورود منابع الكترونيكي به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ايران مورد توجه قرار گرفت و همزمان بحث لزوم تدوين خط‌مشي مشخص براي منابع الكترونيكي مطرح گرديد. برخي از تحقيقاتي كه در اين باره منتشر شده، شامل موارد زير است:</w:t>
      </w:r>
    </w:p>
    <w:p w:rsidR="00AB297B" w:rsidRPr="00AB297B" w:rsidRDefault="00AB297B" w:rsidP="00AB297B">
      <w:pPr>
        <w:spacing w:line="216" w:lineRule="auto"/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«اصنافي» (1382) در بررسي وضعيت مديريت منابع الكترونيكي در كتابخانه‌هاي دانشكده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دانشگاه شهيد چمران اهواز دريافت كه در مجموع،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مورد بررسي توجه چنداني به منابع الكترونيكي نداشته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و اولويت را به منابع چاپي داده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 و هنوز فاصله زيادي با معيارهاي مديريت منابع الكترونيكي دارند. به نظر وي، اهميت ندادن به منابع الكترونيكي سبب رشد ناكافي مجموعه منابع الكترونيكي و به تبع آن مديريت ضعيف اين منابع شده است. او پيشنهاد مي‌كند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خاص و جداگانه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براي مديريت منابع الكترونيكي در اين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تهيه گردد.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«شادان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پور» (1384) توجه به نكات زير را در تهيّه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مشي‌هاي مجموعه‌گستري منابع الكترونيكي توصيه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كند: تعريف اصطلاحاتي نظير لوح فشرده، </w:t>
      </w:r>
      <w:r w:rsidRPr="00AB297B">
        <w:rPr>
          <w:rFonts w:ascii="B Nazanin" w:hAnsi="B Nazanin" w:cs="B Nazanin"/>
          <w:color w:val="000000"/>
          <w:sz w:val="22"/>
        </w:rPr>
        <w:t>DVD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، پيوسته و نظاير آنها؛ ارتباط اين منابع با ديگر منابع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اي؛ جامعة كاربران، شرايط و قوانين استفاده، ضوابط انتخاب نرم‌افزارها و گروه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انتخاب‌كننده، محتواي اطّلاعاتي، محدودة تاريخي و جغرافيايي تحت پوشش، جاري بودن، ملاحظات سخت‌افزاري و پشتيبانيهاي فنّي، هزينه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مربوط به فراهم‌آوري منابع، سخت افزارهاي مورد نياز و كاركنان متخصّص، اجاره، اشتراك، دسترسي از طريق خدمتگر</w:t>
      </w:r>
      <w:bookmarkStart w:id="10" w:name="_ftnref11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"_ftn11"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[10]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0"/>
      <w:r w:rsidRPr="00AB297B">
        <w:rPr>
          <w:rFonts w:ascii="B Nazanin" w:hAnsi="B Nazanin" w:cs="B Nazanin"/>
          <w:color w:val="000000"/>
          <w:sz w:val="22"/>
          <w:szCs w:val="28"/>
          <w:rtl/>
        </w:rPr>
        <w:t>، بايگاني و حفاظت اين منابع، همكاريهاي منطقه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و بين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المللي در خصوص منابع الكترونيكي، ضوابط مربوط به حق مؤلف و سياستهاي خاص در قبال استفاده از پايگاهاي اطّلاعاتي خاص براي گروه‌هاي مختلف كاربران.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«كوهي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رستمي» (1386) در مقايسه وضعيت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مشي‌هاي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بين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تحت نظارت وزارت علوم، تحقيقات و فناوري و وزارت بهداشت، درمان و آموزش پزشكي دريافت كه حدود يك سوم از كتابخانه‌هاي مذكور هيچ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گونه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مدوّني (مكتوب يا شفاهي) ندارند و بيش از يك سوم آنها تنها داراي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شفاهي هستند. وي يكي از مشكلات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در به كارگيري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را نبود زيرساختهاي لازم به منظور استفاده از منابع الكترونيكي گزارش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كند.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او نشان داد 98%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در هر دو وزارتخانه،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منابع الكترونيكي را بسيار ضروري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‌دانند.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از ساير پژوهشهاي صورت گرفته در زمينه منابع الكترونيكي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به «محسني» (1382، 1385)، «ارجمند» (1383)، «ميثمي و ميرحسيني» (1385) و از پژوهشهاي صورت گرفته در مورد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(و نه اختصاصاً مديريت منابع الكترونيكي)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به آثار «حقيقي» (1356)، «زنديان» (1372)، «علوي» (1372)، «زندي» (1373)، «زارع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پور» (1373)، «بني 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اقبال» (1373)، «امير پورسعيد» (1373)، «هاشم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زاده» (1374)، «محقق» (1375)، «سينايي» (1376)، «دياني» (1377)، «شعباني» (1377)، «سپهر» (1378)، «زارعي» (1380)، «ارجمند» (1383) و «بيگدلي» (1385) اشاره كرد.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توجه به خط مشي براي منابع الكترونيكي در غرب نيز به نوشته‌ها راه يافته است. برخي از اين آثار كه با تحقيق فعلي ارتباط و براهميّت خط مشي منابع الكترونيكي تأكيد دارند، عبارتند از: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انجمن كتابداران آمريكا (1989) راهنمايي را براي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گستري پيشنهاد نموده كه در قسمتي از آن با عنوان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تحليل مفصل خط‌مشي‌هاي مجموعه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softHyphen/>
        <w:t>گستري بر اساس قالب،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به منابع الكترونيكي نيز اشاره شده است. «واگل» (1996) بر ضرورت لحاظ كردن منابع الكترونيكي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تأكيد كرد و برخي از اصولي را كه بايد در مورد اين نوع منابع مورد توجه قرار داد، مطرح نمود.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«جردن»</w:t>
      </w:r>
      <w:bookmarkStart w:id="11" w:name="_ftnref12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"_ftn12"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[11]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1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(2002) برخي از روندها و نوآوريهاي منابع الكترونيكي موجود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و تأثير آنها بر سياست توسعة مجموعه را بررسي كرد. وي با اشاره به تغييرات حاصل از فناوري و تأثير آن بر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معتقد است كتابداران نيز بايد تغيير كنند و تنها همان معيارهاي سنّتي قبل را در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به كار نبرند، بلكه بايد به معيارهاي ديگري چون كيفيت رابط كاربر</w:t>
      </w:r>
      <w:bookmarkStart w:id="12" w:name="_ftnref13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"_ftn13"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[12]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2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، موتور جستجو، اعتبار كارگزار و ملاحظات 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قانوني نيز توجه كنند. «جردن» نكات مهمي را كه بايد در خط‌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مديريت مجموعه منابع الكترونيكي لحاظ شوند، چنين برمي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شمارد: استفاده از يك رهنمود و استاندارد براي توسعة مجموعه كتابخانه؛ تهيه منابع رايج و موثّق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كه داراي تازگي، صحت، ارزش تحقيقاتي و ارزش بلندمدت باشند؛ حمايت منابع تهيه شده از هدفهاي آموزشي دانشگاه و برنامه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آموزش از راه دور، ايجاد امكان دسترسي كاربران به منابع چه در داخل دانشگاه و چه در خارج از آن؛ گرفتن بازخورد از ميزان استفاده از منابع و نظرهاي كاربران در خصوص منابع تهيه شده؛ ايجاد آرشيو ديجيتالي از منابع براي دسترسي پايدار به آنان با در نظر گرفتن مالكيت معنوي و مشكلات موجود، ايجاد مركز نگهداري از منابع ديجيتالي موجود.</w:t>
      </w:r>
    </w:p>
    <w:p w:rsidR="00AB297B" w:rsidRPr="00AB297B" w:rsidRDefault="00AB297B" w:rsidP="00AB297B">
      <w:pPr>
        <w:spacing w:line="216" w:lineRule="auto"/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«سينق»</w:t>
      </w:r>
      <w:bookmarkStart w:id="13" w:name="_ftnref14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"_ftn14"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[13]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3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(2004) در مقاله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مباحث مربوط به مديريت مجموعه در محيط الكترونيكي را بررسي نمود. وي با اشاره به تغيير مديريت مجموعه در محيطهاي الكترونيكي و تفاوت آن با مجموعه‌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سنّتي، عوامل مؤثر بر مديريت مجموعه را چنين برمي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شمارد: تحقيقات ميان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رشته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اي، گوناگوني و تغيير نيازهاي كاربران، تنوع محملهاي اطلاعاتي به دليل پيشرفتهاي فناوري و محدوديت بودجه. به عقيدة  «سينق» اساس فعاليتهاي مديريت مجموعه شامل تحليل نياز كاربران، ارتباطات بين‌ كتابخانه‌اي يا درون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اي، گسترش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مشي، بودجه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و تخصيص منابع، قراردادها، ارزيابي مجموعه، ارزيابي انتخاب، نگهداري يا وجين مجموعه، و ارزيابي سيستم است.</w:t>
      </w:r>
    </w:p>
    <w:p w:rsidR="00AB297B" w:rsidRPr="00AB297B" w:rsidRDefault="00AB297B" w:rsidP="00AB297B">
      <w:pPr>
        <w:spacing w:line="216" w:lineRule="auto"/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«ويگنو»</w:t>
      </w:r>
      <w:bookmarkStart w:id="14" w:name="_ftnref15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"_ftn15"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[14]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4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(2006) معتقد است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الكترونيكي ضمن اينكه بايد منطق و ملزومات فرآيند مجموعه‌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سنّتي را حفظ كند، مراحل ديگري را نيز در بر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گيرد كه عبارتند از: جمع‌آوري محتواي اطلاعاتي، ارزيابي محتواي اطلاعاتي، سازماندهي محتواي اطلاعاتي، ساختن مجموعه الكترونيكي و حفظ و نگهداري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هاي الكترونيكي.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از ديگر پژوهشهاي صورت گرفته در اين زمينه،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به پژوهشهاي «جانسون»</w:t>
      </w:r>
      <w:bookmarkStart w:id="15" w:name="_ftnref16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"_ftn16"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[15]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5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(1994)، «فيوتاس»</w:t>
      </w:r>
      <w:bookmarkStart w:id="16" w:name="_ftnref17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"_ftn17"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[16]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6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(1995)، «سايمون»</w:t>
      </w:r>
      <w:bookmarkStart w:id="17" w:name="_ftnref18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"_ftn18"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[17]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7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(1996)، «كيد»</w:t>
      </w:r>
      <w:bookmarkStart w:id="18" w:name="_ftnref19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"_ftn19"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[18]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8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(1997)، «استوارت»</w:t>
      </w:r>
      <w:bookmarkStart w:id="19" w:name="_ftnref20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"_ftn20"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[19]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19"/>
      <w:r w:rsidRPr="00AB297B">
        <w:rPr>
          <w:rFonts w:ascii="B Nazanin" w:hAnsi="B Nazanin" w:cs="B Nazanin"/>
          <w:color w:val="000000"/>
          <w:sz w:val="22"/>
          <w:szCs w:val="28"/>
          <w:rtl/>
        </w:rPr>
        <w:t>، «يانگر»</w:t>
      </w:r>
      <w:bookmarkStart w:id="20" w:name="_ftnref21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"_ftn21"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[20]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0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(2002)، «ديلون»</w:t>
      </w:r>
      <w:bookmarkStart w:id="21" w:name="_ftnref22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"_ftn22"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[21]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1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(2002)، «كرو»</w:t>
      </w:r>
      <w:bookmarkStart w:id="22" w:name="_ftnref23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"_ftn23"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[22]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2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(2002)، «كورتلاينن»</w:t>
      </w:r>
      <w:bookmarkStart w:id="23" w:name="_ftnref24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"_ftn24"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[23]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3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(2004)، و «اگي»</w:t>
      </w:r>
      <w:bookmarkStart w:id="24" w:name="_ftnref25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"_ftn25"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[24]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4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(2005) اشاره كرد.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نتايج پژوهشها حاكي از آن است كه هيچ‌اجماعي در مورد اينكه كتابداران بايد يك بيانة خط‌مشي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جامع تدوين نمايند يا بايد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جداگانه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براي منابع الكترونيكي تهيّه كنند، وجود ندارد. عده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عقيده دارند ارزيابي منابع الكترونيكي بايد در كنار منابع چاپي و در يك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مورد توجّه قرار گيرد. افرادي مثل «واگل» (1996)، «وايت و كرافورد» (1997)، «كارول» (1998)، و «كُوَك و الكوربي»</w:t>
      </w:r>
      <w:bookmarkStart w:id="25" w:name="_ftnref26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"_ftn26"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[25]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5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(2000) موافق اين ايده هستند. در حالي كه «هيزن»</w:t>
      </w:r>
      <w:bookmarkStart w:id="26" w:name="_ftnref27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"_ftn27"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[26]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6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(1995، ص. 22)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نويسد: «خط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مشي‌هاي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سنّتي ايستا هستند و نيازهاي كتابداران امروز را برآورده نمي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كنند.» لذا،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جداگانه را ترجيح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دهد. كميته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مجموعه‌گستري</w:t>
      </w:r>
      <w:bookmarkStart w:id="27" w:name="_ftnref28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"_ftn28"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[27]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7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بخش ارزيابي و توسعه مجموعه</w:t>
      </w:r>
      <w:bookmarkStart w:id="28" w:name="_ftnref29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"_ftn29"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[28]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8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انجمن كتابداري آمريكا</w:t>
      </w:r>
      <w:bookmarkStart w:id="29" w:name="_ftnref30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"_ftn30"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[29]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29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بيان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كند: «خط‌مشي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سنّتي بر مالكّيت مواد متكّي هستند. به واسطة فناوريهاي اطلاعاتي در حال تغيير،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بيشتر به دسترسي به اطّلاعات از طريق فروشندگان تجاري و برنامه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تجاري روي خواهند آورد و كمتر قادر خواهند بود مواد را فراهم‌آوري و ذخيره</w:t>
      </w:r>
      <w:r w:rsidRPr="00AB297B">
        <w:rPr>
          <w:rFonts w:ascii="B Nazanin" w:hAnsi="B Nazanin" w:cs="B Nazanin"/>
          <w:color w:val="000000"/>
          <w:sz w:val="22"/>
          <w:szCs w:val="28"/>
        </w:rPr>
        <w:t>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سازي كنند» (به نقل از وايت و كرافورد، 1997، ص. 52).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softHyphen/>
        <w:t>اما به نظر «اوانز»، در خصوص منابع الكترونيكي دو شيوه متفاوت را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در پيش گرفت: 1) آنها را در فهرست ساير انواع منابع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بگنجانيم و ويژگيها و سطح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خاص آنها را ارائه كنيم 2) به دليل تفاوتهايي كه اين منابع با ساير انواع منابع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دارند و تغييرات فراوان روزمرّه در وب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سايتها و پايگاه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اينترنتي،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مجزايي براي اين منابع تهيّه كنيم. اين كار، هم از پيچيده شدن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جلوگيري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كند و هم به دليل ضرورت بازنگريهاي مكرر، بافت اصلي خط‌مشي برهم نمي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خورد (اوانز، 2000 ، ص. 84).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روش</w:t>
      </w: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softHyphen/>
        <w:t>شناسي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اين پژوهش، پيمايشي و از نوع كيفي ـ كاربردي است و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توان از يافته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و نتايج آن جهت طراحي و بهبود كيفيت مديريت مجموعه منابع الكترونيكي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هاي دانشگاهي از طريق ارائه الگوي پيشنهادي براي آنها استفاده كرد.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جامعة پژوهش، 121 كتابخانه مركزي دانشگاهي است كه از اين تعداد، 79 كتابخانه تحت نظارت وزارت علوم، تحقيقات و فناوري و 42 كتابخانه تحت نظارت وزارت بهداشت، درمان و آموزش پزشكي قرار دارند. 9 كتابخانه به دلايل مختلف از جامعه مورد مطالعه خارج شدند: 2 مورد (دانشگاه‌هاي ملاير و بجنورد) به دليل نداشتن منابع الكترونيكي و 7 مورد (دانشگاه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صنعتي مالك اشتر اصفهان، صنعتي مالك اشتر تهران، صنعتي بيرجند، علوم پزشكي ارتش، علوم پزشكي بقية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الله، علوم پزشكي همدان، و هنر تهران) نيز به دليل سياست خاص دانشگاه خود مبني بر پاسخ ندادن به پرسشنامه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ها، از جامعه آماري حذف شدند. بدين ترتيب، جامعه آماري مورد بررسي 112 كتابخانه مركزي دانشگاهي ايران را شامل مي‌شود كه از آنها در مورد ويژگيها و عناصر مهم در الگوي مديريت منابع الكترونيكي مناسب براي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هاي دانشگاهي ايران، نظرسنجي شد.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ابزار پ‍ژوهش، پرسشنامه محقق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ساخته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اي با  113 سؤال بسته (طيف ليكرت</w:t>
      </w:r>
      <w:bookmarkStart w:id="30" w:name="_ftnref31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"_ftn31"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[30]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30"/>
      <w:r w:rsidRPr="00AB297B">
        <w:rPr>
          <w:rFonts w:ascii="B Nazanin" w:hAnsi="B Nazanin" w:cs="B Nazanin"/>
          <w:color w:val="000000"/>
          <w:sz w:val="22"/>
          <w:szCs w:val="18"/>
          <w:rtl/>
        </w:rPr>
        <w:t>) و 9 سؤال باز است كه به روش وب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سنجي و از طريق تحليل محتوايي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و الگوهاي موجود در 126 وب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سايت دانشگاه جهان، تهيه شده است. جهت روايي پرسشنامه، از روايي محتوايي (صوري)، و جهت پايايي پرسشنامه از ضريب پايايي آلفاي كرونباخ استفاده شد. ضريب به دست آمده 92/0است كه نشان مي‌دهد پرسشنامه، همساني دروني و پايايي لازم را داراست. از كل پرسشنامه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ها، 79 پرسشنامه (54/70%) بازگشت داده شد كه تجزيه و تحليلهاي لازم روي آنها صورت گرفت. در اين پژوهش، از آمار توصيفي فراواني و درصد فراواني براي داده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مربوط به اطلاعات جمعيت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شناختي، از ميانگين و انحراف معيار نيز براي شاخص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 آماري عاملهاي 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گانه پرسشنامه استفاده شد. از آمار استنباطي نيز به شرح ذيل استفاده گرديد. از تحليل عوامل</w:t>
      </w:r>
      <w:bookmarkStart w:id="31" w:name="_ftnref32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"_ftn32"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Strong"/>
          <w:rFonts w:ascii="B Nazanin" w:hAnsi="B Nazanin" w:cs="B Nazanin"/>
          <w:color w:val="0066CC"/>
          <w:sz w:val="22"/>
        </w:rPr>
        <w:t>[31]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31"/>
      <w:r w:rsidRPr="00AB297B">
        <w:rPr>
          <w:rFonts w:ascii="B Nazanin" w:hAnsi="B Nazanin" w:cs="B Nazanin"/>
          <w:color w:val="000000"/>
          <w:sz w:val="22"/>
          <w:szCs w:val="18"/>
          <w:rtl/>
        </w:rPr>
        <w:t xml:space="preserve"> براي شناسايي عوامل مهم موجود در پرسشنامه (عناصر اصلي يك خط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مشي)؛ آلفاي كرونباخ جهت پايايي پرسشنامه و آزمون غيرپارامتريك فريدمن</w:t>
      </w:r>
      <w:bookmarkStart w:id="32" w:name="_ftnref33"/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"_ftn33"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[32]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32"/>
      <w:r w:rsidRPr="00AB297B">
        <w:rPr>
          <w:rFonts w:ascii="B Nazanin" w:hAnsi="B Nazanin" w:cs="B Nazanin"/>
          <w:color w:val="000000"/>
          <w:sz w:val="22"/>
          <w:szCs w:val="18"/>
          <w:rtl/>
        </w:rPr>
        <w:t xml:space="preserve"> براي بررسي تفاوتهاي مشاهده شده در عاملها، استفاده شد. 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يافته</w:t>
      </w: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softHyphen/>
        <w:t>ها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جدول 1، اطلاعات جمعيت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شناختي جامعه پژوهش را نشان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دهد. در مجموع، 79 نفر به پرسشنامه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 پاسخ داده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اند كه از اين تعداد، 56 نفر (9/70%) مرد و 23 نفر (1/29%) زن هستند. 47 نفر (5/59%) از پاسخ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دهندگان از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زير پوشش وزارت علوم و 32 نفر (5/40%) از دانشگاه‌هاي زير پوشش وزارت بهداشت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باشند.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جدول 1. اطلاعات جمعيت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شناختي مديران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دولتي ايران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0"/>
        <w:gridCol w:w="599"/>
        <w:gridCol w:w="930"/>
        <w:gridCol w:w="858"/>
        <w:gridCol w:w="579"/>
        <w:gridCol w:w="815"/>
        <w:gridCol w:w="755"/>
        <w:gridCol w:w="567"/>
        <w:gridCol w:w="714"/>
        <w:gridCol w:w="511"/>
        <w:gridCol w:w="567"/>
        <w:gridCol w:w="556"/>
      </w:tblGrid>
      <w:tr w:rsidR="00AB297B" w:rsidRPr="00AB297B">
        <w:trPr>
          <w:cantSplit/>
          <w:trHeight w:val="340"/>
          <w:jc w:val="center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تعداد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مدرك تحصيلي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رشتة تحصيلي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سابقه كار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سابقه مديريت</w:t>
            </w:r>
          </w:p>
        </w:tc>
      </w:tr>
      <w:tr w:rsidR="00AB297B" w:rsidRPr="00AB297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97B" w:rsidRPr="00AB297B" w:rsidRDefault="00AB297B" w:rsidP="00AB297B">
            <w:pPr>
              <w:rPr>
                <w:rFonts w:ascii="B Nazanin" w:hAnsi="B Nazanin" w:cs="B Nazanin"/>
                <w:color w:val="333333"/>
                <w:sz w:val="22"/>
                <w:szCs w:val="18"/>
              </w:rPr>
            </w:pPr>
          </w:p>
        </w:tc>
        <w:tc>
          <w:tcPr>
            <w:tcW w:w="4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ديپلم</w:t>
            </w:r>
          </w:p>
        </w:tc>
        <w:tc>
          <w:tcPr>
            <w:tcW w:w="5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كارشناسي</w:t>
            </w:r>
          </w:p>
        </w:tc>
        <w:tc>
          <w:tcPr>
            <w:tcW w:w="5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كارشناسي ارشد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دكترا</w:t>
            </w:r>
          </w:p>
        </w:tc>
        <w:tc>
          <w:tcPr>
            <w:tcW w:w="6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كتابداري</w:t>
            </w:r>
          </w:p>
        </w:tc>
        <w:tc>
          <w:tcPr>
            <w:tcW w:w="6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غير كتابداري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1- 10 سال</w:t>
            </w:r>
          </w:p>
        </w:tc>
        <w:tc>
          <w:tcPr>
            <w:tcW w:w="7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11- 20 سال</w:t>
            </w:r>
          </w:p>
        </w:tc>
        <w:tc>
          <w:tcPr>
            <w:tcW w:w="4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21- 30 سال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1- 10 سال</w:t>
            </w:r>
          </w:p>
        </w:tc>
        <w:tc>
          <w:tcPr>
            <w:tcW w:w="5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rtl/>
              </w:rPr>
              <w:t>11- 20 سال</w:t>
            </w:r>
          </w:p>
        </w:tc>
      </w:tr>
      <w:tr w:rsidR="00AB297B" w:rsidRPr="00AB297B">
        <w:trPr>
          <w:jc w:val="center"/>
        </w:trPr>
        <w:tc>
          <w:tcPr>
            <w:tcW w:w="7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فراواني</w:t>
            </w:r>
          </w:p>
        </w:tc>
        <w:tc>
          <w:tcPr>
            <w:tcW w:w="4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2</w:t>
            </w:r>
          </w:p>
        </w:tc>
        <w:tc>
          <w:tcPr>
            <w:tcW w:w="5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15</w:t>
            </w:r>
          </w:p>
        </w:tc>
        <w:tc>
          <w:tcPr>
            <w:tcW w:w="5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31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31</w:t>
            </w:r>
          </w:p>
        </w:tc>
        <w:tc>
          <w:tcPr>
            <w:tcW w:w="6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41</w:t>
            </w:r>
          </w:p>
        </w:tc>
        <w:tc>
          <w:tcPr>
            <w:tcW w:w="6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38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57</w:t>
            </w:r>
          </w:p>
        </w:tc>
        <w:tc>
          <w:tcPr>
            <w:tcW w:w="7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17</w:t>
            </w:r>
          </w:p>
        </w:tc>
        <w:tc>
          <w:tcPr>
            <w:tcW w:w="4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5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71</w:t>
            </w:r>
          </w:p>
        </w:tc>
        <w:tc>
          <w:tcPr>
            <w:tcW w:w="5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8</w:t>
            </w:r>
          </w:p>
        </w:tc>
      </w:tr>
      <w:tr w:rsidR="00AB297B" w:rsidRPr="00AB297B">
        <w:trPr>
          <w:jc w:val="center"/>
        </w:trPr>
        <w:tc>
          <w:tcPr>
            <w:tcW w:w="7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درصد</w:t>
            </w:r>
          </w:p>
        </w:tc>
        <w:tc>
          <w:tcPr>
            <w:tcW w:w="4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5/2</w:t>
            </w:r>
          </w:p>
        </w:tc>
        <w:tc>
          <w:tcPr>
            <w:tcW w:w="5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19</w:t>
            </w:r>
          </w:p>
        </w:tc>
        <w:tc>
          <w:tcPr>
            <w:tcW w:w="5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2/39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2/39</w:t>
            </w:r>
          </w:p>
        </w:tc>
        <w:tc>
          <w:tcPr>
            <w:tcW w:w="6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9/51</w:t>
            </w:r>
          </w:p>
        </w:tc>
        <w:tc>
          <w:tcPr>
            <w:tcW w:w="6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1/40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2/72</w:t>
            </w:r>
          </w:p>
        </w:tc>
        <w:tc>
          <w:tcPr>
            <w:tcW w:w="7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51/21</w:t>
            </w:r>
          </w:p>
        </w:tc>
        <w:tc>
          <w:tcPr>
            <w:tcW w:w="4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3/6</w:t>
            </w:r>
          </w:p>
        </w:tc>
        <w:tc>
          <w:tcPr>
            <w:tcW w:w="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9/89</w:t>
            </w:r>
          </w:p>
        </w:tc>
        <w:tc>
          <w:tcPr>
            <w:tcW w:w="5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1/10</w:t>
            </w:r>
          </w:p>
        </w:tc>
      </w:tr>
    </w:tbl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همان‌گونه كه در جدول 1 آمده است، 5/97% پاسخ‌دهندگان داراي مدرك كارشناسي و بالاتر هستند. اين مورد بر افزايش اعتبار پاسخهاي ارائه شده مؤثر بوده است.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به منظور روشن شدن وضعيت فعلي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و مديريت منابع الكترونيكي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مورد بررسي، تعدادي پرسش فرعي مطرح شده بود. از 79 پاسخ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دهنده به سؤال «آيا كتابخانه شما داراي خط‌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مشي 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مشخصي براي مديريت مجموعه است؟» 53 نفر (1/67%) پاسخ بلي و 26 نفر (9/32%) پاسخ خير داده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اند. در پاسخ به اين سؤال كه «آيا كتابخانه شما داراي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مشخصي براي مديريت مجموعه منابع الكترونيكي است؟» 43 نفر (4/54%) شركت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كننده، پاسخ «بلي» و 36 نفر (6/45%) پاسخ «خير» داده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اند. در ادامة اين پرسش، پژوهشگر از مديران خواهش كرده بود در صورت داشتن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مشي، نسخه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از آن را براي وي ارسال كنند. هيچ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يك از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ياد شده، به اين خواهش ترتيب اثر ندادند. بنابراين، پژوهشگر موفق نشد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‌مشي‌هاي فعلي موجود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را بررسي كند.</w:t>
      </w:r>
    </w:p>
    <w:p w:rsidR="00AB297B" w:rsidRPr="00AB297B" w:rsidRDefault="00AB297B" w:rsidP="00AB297B">
      <w:pPr>
        <w:spacing w:line="216" w:lineRule="auto"/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به منظور پاسخ به پرسش اصلي پژوهش كه «از نظر مديران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دولتي ايران، كدام ويژگيها و عناصر الگوهاي مديريت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دانشگاهي جهان براي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‌هاي دانشگاهي ايران مناسب و لازم هستند؟»، ويژگيهاي مذكور در اختيار آنان قرار داده شد.</w:t>
      </w:r>
    </w:p>
    <w:p w:rsidR="00AB297B" w:rsidRPr="00AB297B" w:rsidRDefault="00AB297B" w:rsidP="00AB297B">
      <w:pPr>
        <w:spacing w:line="216" w:lineRule="auto"/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در تحليل محتواي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مديريت منابع الكترونيكي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جهان، 14 مورد به عنوان رئوس مطالب يك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منابع الكترونيكي شناسايي شد (جدول 2).اين 14 عامل در اختيار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مورد بررسي قرار داده شد.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نشان داد از نظر مديران ياد شده، تمامي عوامل فوق به عنوان فهرست مندرجات پيشنهادي براي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مشي مديريت مجموعه منابع الكترونيكي، داراي اهميت «زياد» و «خيلي زياد» هستند (جدول 2).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ابتدا جهت بررسي اولويت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رئوس مطالب از نظر شركت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كنندگان، از آمار غيرپارامتريك فريدمن استفاده شد. نتيجة آزمون غيرپارامتريك فريدمن نشان داد بين رئوس مطالب يا فهرست مندرجات پيشنهادي براي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مديريت مجموعه منابع الكترونيكي، تفاوت معنا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دار آماري ديده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 (29/79=،    001/0 &gt;</w:t>
      </w:r>
      <w:r w:rsidRPr="00AB297B">
        <w:rPr>
          <w:rFonts w:ascii="B Nazanin" w:hAnsi="B Nazanin" w:cs="B Nazanin"/>
          <w:color w:val="000000"/>
          <w:sz w:val="22"/>
          <w:szCs w:val="28"/>
        </w:rPr>
        <w:t>p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). به عبارت ديگر، اولويت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رئوس مطالب از نظر پاسخگويان (مديران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ايران) متفاوت است. ميانگين رتبه‌ها به ترتيب در رئوس مطالب يا فهرست مندرجات بر اساس اهميت، از نظر پاسخگويان عبارتند از: بودجه و مسائل مالي (21/9=)، ارزيابي به منظور انتخاب يا عدم انتخاب منابع الكترونيكي (76/8=)، مسائل مربوط به كاربران (32/8=)، مسائل مربوط به دسترسي (24/8=)، مسائل مربوط به آرشيو، نگهداري و امنيت (94/7=)، مجوزها و قراردادها (77/7=)،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(63/7=مقدمه، فلسفه و هدفها (59/7=)، مسائل مربوط به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(20/7=)، دامنه و تعريفهاي مربوط به انواع منابع الكترونيكي (02/7=)، نسخه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برداري و تكثير (49/6=)، 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مشي (38/6=)، مباحث فني (32/6=) و مباحث مديريت اجرايي (16/6=). 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جدول2. فراواني و درصد فراواني ميزان اهميت وجود عوامل ضروري در تدوين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مديريت مجموعه منابع الكترونيكي، از ديدگاه مديران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دولتي ايران</w:t>
      </w:r>
    </w:p>
    <w:tbl>
      <w:tblPr>
        <w:bidiVisual/>
        <w:tblW w:w="0" w:type="auto"/>
        <w:jc w:val="center"/>
        <w:tblInd w:w="714" w:type="dxa"/>
        <w:tblCellMar>
          <w:left w:w="0" w:type="dxa"/>
          <w:right w:w="0" w:type="dxa"/>
        </w:tblCellMar>
        <w:tblLook w:val="04A0"/>
      </w:tblPr>
      <w:tblGrid>
        <w:gridCol w:w="574"/>
        <w:gridCol w:w="651"/>
        <w:gridCol w:w="574"/>
        <w:gridCol w:w="651"/>
        <w:gridCol w:w="574"/>
        <w:gridCol w:w="651"/>
        <w:gridCol w:w="574"/>
        <w:gridCol w:w="651"/>
        <w:gridCol w:w="574"/>
        <w:gridCol w:w="651"/>
        <w:gridCol w:w="2503"/>
      </w:tblGrid>
      <w:tr w:rsidR="00AB297B" w:rsidRPr="00AB297B">
        <w:trPr>
          <w:trHeight w:val="340"/>
          <w:jc w:val="center"/>
        </w:trPr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خيلي زياد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زياد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متوسط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كم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خيلي كم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رئوس مطالب يك خط</w:t>
            </w: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مشي</w:t>
            </w:r>
          </w:p>
        </w:tc>
      </w:tr>
      <w:tr w:rsidR="00AB297B" w:rsidRPr="00AB297B">
        <w:trPr>
          <w:cantSplit/>
          <w:trHeight w:val="925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فراواني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فراواني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فراواني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فراواني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فراواني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ECE9D8"/>
            </w:tcBorders>
            <w:vAlign w:val="center"/>
            <w:hideMark/>
          </w:tcPr>
          <w:p w:rsidR="00AB297B" w:rsidRPr="00AB297B" w:rsidRDefault="00AB297B" w:rsidP="00AB297B">
            <w:pPr>
              <w:rPr>
                <w:rFonts w:ascii="B Nazanin" w:hAnsi="B Nazanin" w:cs="B Nazanin"/>
                <w:color w:val="333333"/>
                <w:sz w:val="22"/>
                <w:szCs w:val="18"/>
              </w:rPr>
            </w:pP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5/40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32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6/45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36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7/12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10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مقدمه، فلسفه و هدفها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2/34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27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1/48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38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4/11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3/6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دامنه و تعريفهاي مربوط به انواع منابع الكترونيكي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5/59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47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1/29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23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9/8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ارزيابي جهت انتخاب يا عدم انتخاب منابع الكترونيكي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lastRenderedPageBreak/>
              <w:t>4/49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39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43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34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3/6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مسائل مربوط به دسترسي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7/36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29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2/39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31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5/16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13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1/5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نسخه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برداري و تكثير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8/46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37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5/40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32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1/10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مسائل مربوط به آرشيو، نگهداري و امنيت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3/44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35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8/41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33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4/11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ديجيتال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سازي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38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6/45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36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2/15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12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مسائل مربوط به فراهم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آوري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4/49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39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5/40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32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1/10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مسائل مربوط به كاربران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6/64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51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6/26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21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3/6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بودجه و مسائل مالي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8/46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37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38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7/12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10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مجوزها و قراردادها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8/27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22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1/48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38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19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15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8/3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3-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3/1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مباحث فني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4/30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24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3/44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35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8/22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مباحث مديريت اجرايي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5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6/26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21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4/54</w:t>
            </w:r>
          </w:p>
        </w:tc>
        <w:tc>
          <w:tcPr>
            <w:tcW w:w="42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43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5/16</w:t>
            </w:r>
          </w:p>
        </w:tc>
        <w:tc>
          <w:tcPr>
            <w:tcW w:w="40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13</w:t>
            </w:r>
          </w:p>
        </w:tc>
        <w:tc>
          <w:tcPr>
            <w:tcW w:w="56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5/2</w:t>
            </w:r>
          </w:p>
        </w:tc>
        <w:tc>
          <w:tcPr>
            <w:tcW w:w="4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46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35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25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outset" w:sz="6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16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اجرا و بازنگري خط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مشي</w:t>
            </w:r>
          </w:p>
        </w:tc>
      </w:tr>
    </w:tbl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در مرحلة بعد، تمامي پاسخهاي مربوط به جزئيات هر ماده و زيرمجموعه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به روش تحليل عامل، دسته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شد (عصاره، 2003). براي تحليل عاملي پرسشنامه، ابتدا از روش تحليل مؤلفه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اصلي</w:t>
      </w:r>
      <w:bookmarkStart w:id="33" w:name="_ftnref34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"_ftn34"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[33]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33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استفاده گرديد. سپس براي تشخيص عامل يا عاملهاي بنيادي كه پاية پرسشنامه و به تبع آن نظر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را شكل مي‌دهند، از روش چرخش واريماكس</w:t>
      </w:r>
      <w:bookmarkStart w:id="34" w:name="_ftnref35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"_ftn35"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[34]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34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استفاده شد. با استفاده از چرخش متعامد</w:t>
      </w:r>
      <w:bookmarkStart w:id="35" w:name="_ftnref36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"_ftn36"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[35]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35"/>
      <w:r w:rsidRPr="00AB297B">
        <w:rPr>
          <w:rFonts w:ascii="B Nazanin" w:hAnsi="B Nazanin" w:cs="B Nazanin"/>
          <w:color w:val="000000"/>
          <w:sz w:val="22"/>
          <w:szCs w:val="28"/>
          <w:rtl/>
        </w:rPr>
        <w:t>، 9 عامل استخراج گرديد كه اين عاملها بر روي هم 10/55% واريانس كل پرسشها را تبيين مي‌كنند. جدول 3، شاخصهاي آماري نهايي پرسشنامه پژوهش را از طريق روش تحليل مؤلفه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اصلي نشان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همان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طور كه در جدول 3 ملاحظه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عامل يكم (مسائل مربوط به دسترسي) بيشترين سهم واريانس را در تبيين واريانس فوق برعهده دارد (88/17 %). با وجود اين، نتيجه به دست آمده بيانگر اين است كه پرسشنامه مذكور، يك پرسشنامه چندبعدي است. بدين ترتيب، 45/32% واريانس مشترك بين سؤالها توسط عامل يكم (مسائل مربوط به دسترسي)؛ 45/7% واريانس توسط دومين عامل (مباحث فني و تخصصي) با واريانس مشترك 52/13% ؛ 27/6% واريانس توسط سومين عامل (نيازسنجي از كاربران) با واريانس مشترك 38/11%؛ 69/4% واريانس توسط عامل چهارم (بيان رسالت، هدفها و مسائل مالي) با واريانس مشترك 51/8%؛ 60/4% واريانس توسط عامل پنجم (اجرا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مشي) با واريانس مشترك 34/8%؛ 29/4% واريانس توسط ششمين عامل (مسائل مربوط به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سازي) با واريانس مشترك 78/7%؛ 53/3% واريانس توسط عامل هفتم (معيارهاي انتخاب منابع الكترونيكي) با واريانس مشترك 40/6%؛ 32/3% واريانس توسط عامل هشتم (مقدمه و تعريفهاي مربوط به انواع منابع الكترونيكي) با واريانس مشترك 02/6% و 03/3% واريانس توسط عامل نهم (نيروي انساني) با واريانس مشترك49/5% تبيين مي‌شوند. 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 xml:space="preserve">جدول 3. شاخصهاي آماري نهايي پرسشنامة پژوهش 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(مؤلفه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اصلي يك خط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مشي مديريت منابع الكترونيكي)، از طريق روش تحليل مؤلفه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اصلي</w:t>
      </w:r>
    </w:p>
    <w:tbl>
      <w:tblPr>
        <w:bidiVisual/>
        <w:tblW w:w="6908" w:type="dxa"/>
        <w:jc w:val="center"/>
        <w:tblInd w:w="1138" w:type="dxa"/>
        <w:tblCellMar>
          <w:left w:w="0" w:type="dxa"/>
          <w:right w:w="0" w:type="dxa"/>
        </w:tblCellMar>
        <w:tblLook w:val="04A0"/>
      </w:tblPr>
      <w:tblGrid>
        <w:gridCol w:w="2790"/>
        <w:gridCol w:w="785"/>
        <w:gridCol w:w="680"/>
        <w:gridCol w:w="1275"/>
        <w:gridCol w:w="1378"/>
      </w:tblGrid>
      <w:tr w:rsidR="00AB297B" w:rsidRPr="00AB297B">
        <w:trPr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                     شاخصهاي آماري</w:t>
            </w:r>
          </w:p>
          <w:p w:rsidR="00AB297B" w:rsidRPr="00AB297B" w:rsidRDefault="00AB297B" w:rsidP="00AB297B">
            <w:pPr>
              <w:spacing w:before="100" w:beforeAutospacing="1" w:after="100" w:afterAutospacing="1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عاملها</w:t>
            </w:r>
          </w:p>
        </w:tc>
        <w:tc>
          <w:tcPr>
            <w:tcW w:w="78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ميزان اشتراك</w:t>
            </w:r>
          </w:p>
        </w:tc>
        <w:tc>
          <w:tcPr>
            <w:tcW w:w="6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مقادير ويژه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 واريانس تبيين شده</w:t>
            </w:r>
          </w:p>
        </w:tc>
        <w:tc>
          <w:tcPr>
            <w:tcW w:w="137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درصد واريانس تجمعي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lastRenderedPageBreak/>
              <w:t>اول: مسائل مربوط به دسترسي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30/32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16/12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88/17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88/17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دوم: مباحث فني و تخصصي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52/13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06/5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45/7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34/25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سوم: نيازسنجي از كاربران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38/11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26/4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27/6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61/31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چهارم: بيان رسالت، هدفها و مسائل مالي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51/8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19/3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69/4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30/36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پنجم: اجرا و بازنگري در خط</w:t>
            </w: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softHyphen/>
              <w:t>مشي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34/8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13/3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60/4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91/40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ششم: مسائل مربوط به ديجيتال</w:t>
            </w: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softHyphen/>
              <w:t>سازي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78/8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91/2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29/4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20/45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هفتم: معيارهاي انتخاب منابع الكترونيكي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40/6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40/2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53/3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74/48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هشتم: مقدمه و تعريفهاي مربوط به انواع منابع الكترونيكي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02/6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26/2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32/3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06/52</w:t>
            </w:r>
          </w:p>
        </w:tc>
      </w:tr>
      <w:tr w:rsidR="00AB297B" w:rsidRPr="00AB297B">
        <w:trPr>
          <w:trHeight w:val="340"/>
          <w:jc w:val="center"/>
        </w:trPr>
        <w:tc>
          <w:tcPr>
            <w:tcW w:w="279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rtl/>
              </w:rPr>
              <w:t>نهم: نيروي انساني</w:t>
            </w:r>
          </w:p>
        </w:tc>
        <w:tc>
          <w:tcPr>
            <w:tcW w:w="7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49/5</w:t>
            </w:r>
          </w:p>
        </w:tc>
        <w:tc>
          <w:tcPr>
            <w:tcW w:w="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06/2</w:t>
            </w:r>
          </w:p>
        </w:tc>
        <w:tc>
          <w:tcPr>
            <w:tcW w:w="12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03/3</w:t>
            </w:r>
          </w:p>
        </w:tc>
        <w:tc>
          <w:tcPr>
            <w:tcW w:w="13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7B" w:rsidRPr="00AB297B" w:rsidRDefault="00AB297B" w:rsidP="00AB297B">
            <w:pPr>
              <w:spacing w:before="100" w:beforeAutospacing="1" w:after="100" w:afterAutospacing="1" w:line="288" w:lineRule="auto"/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10/55</w:t>
            </w:r>
          </w:p>
        </w:tc>
      </w:tr>
    </w:tbl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همان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طور كه ملاحظه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گرچه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استخراج شده از تحليل محتواي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مشي‌هاي موجود در وب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سايتهاي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جهان توسط آنان در 14 مؤلفه به عنوان فهرست مندرجات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دسته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شده بودند و تمامي اين موارد از نظر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اهميت زيادي در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داشتند (جدول 2)، اما عاملهاي به دست آمده از نظرسنجي مديران مذكور، تنها در 9 عامل يا مؤلفه دسته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شده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 (جدول 3).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براي اينكه مشخص شود شركت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كنندگان كدام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را نسبت به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ديگر در اولويت قرار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دهند، از آزمون غيرپارامتريك تكراري فريدمن استفاده شد. اين آزمون نشان داد بين ماده‌‌‌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عاملهاي اول تا پنجم، و هفتم تا نهم در اولويت‌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بندي، تفاوت معناداري ديده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شود. به عبارت ديگر، ميانگين رتبه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اين عوامل از نظر پاسخگويان يكسان نيست. اما بين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عامل ششم در اولويت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تفاوت ديده نمي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 (65/3=، 456/0=</w:t>
      </w:r>
      <w:r w:rsidRPr="00AB297B">
        <w:rPr>
          <w:rFonts w:ascii="B Nazanin" w:hAnsi="B Nazanin" w:cs="B Nazanin"/>
          <w:color w:val="000000"/>
          <w:sz w:val="22"/>
        </w:rPr>
        <w:t>p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). به عبارت ديگر، از نظر پاسخگويان بين اولويت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ميانگين رتبه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ماده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هاي عامل ششم تفاوتي وجود ندارد.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جدول 5، ماتريس ضريبهاي روايي همگراي عاملهاي 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گانه و نمره كل پرسشنامه پژوهش را نشان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دهد.همان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طور كه مشاهده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بالاترين ضريب همبستگي مربوط به عامل هفتم (معيارهاي انتخاب منابع الكترونيكي) (72/0=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، 01/0&gt;</w:t>
      </w:r>
      <w:r w:rsidRPr="00AB297B">
        <w:rPr>
          <w:rFonts w:ascii="B Nazanin" w:hAnsi="B Nazanin" w:cs="B Nazanin"/>
          <w:color w:val="000000"/>
          <w:sz w:val="22"/>
        </w:rPr>
        <w:t>p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 و پايين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ترين ضريب مربوط به عامل نهم (نيروي انساني) (23/0=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، 05/0&gt;</w:t>
      </w:r>
      <w:r w:rsidRPr="00AB297B">
        <w:rPr>
          <w:rFonts w:ascii="B Nazanin" w:hAnsi="B Nazanin" w:cs="B Nazanin"/>
          <w:color w:val="000000"/>
          <w:sz w:val="22"/>
        </w:rPr>
        <w:t>p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باشد. 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جدول5. ماتريس ضريبهاي روايي همگراي عاملهاي 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گانه و نمره كل پرسشنامه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3"/>
        <w:gridCol w:w="709"/>
        <w:gridCol w:w="709"/>
        <w:gridCol w:w="850"/>
        <w:gridCol w:w="851"/>
        <w:gridCol w:w="737"/>
        <w:gridCol w:w="794"/>
        <w:gridCol w:w="709"/>
        <w:gridCol w:w="843"/>
        <w:gridCol w:w="770"/>
      </w:tblGrid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عامل</w:t>
            </w: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softHyphen/>
              <w:t>ها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4</w:t>
            </w:r>
          </w:p>
        </w:tc>
        <w:tc>
          <w:tcPr>
            <w:tcW w:w="73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7</w:t>
            </w:r>
          </w:p>
        </w:tc>
        <w:tc>
          <w:tcPr>
            <w:tcW w:w="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8</w:t>
            </w:r>
          </w:p>
        </w:tc>
        <w:tc>
          <w:tcPr>
            <w:tcW w:w="7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9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15/0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39/0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39/0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16/0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30/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39/0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22/0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004/0-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31/0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29/0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28/0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42/0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33/0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47/0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19/0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42/0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23/0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46/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44/0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26/0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007/0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37/0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43/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50/0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23/0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06/0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30/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40/0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25/0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33/0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44/0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46/0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13/0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lastRenderedPageBreak/>
              <w:t>7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37/0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13/0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04/0</w:t>
            </w:r>
          </w:p>
        </w:tc>
      </w:tr>
      <w:tr w:rsidR="00AB297B" w:rsidRPr="00AB297B">
        <w:trPr>
          <w:trHeight w:val="284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9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 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-</w:t>
            </w:r>
          </w:p>
        </w:tc>
      </w:tr>
      <w:tr w:rsidR="00AB297B" w:rsidRPr="00AB297B">
        <w:trPr>
          <w:trHeight w:val="312"/>
          <w:jc w:val="center"/>
        </w:trPr>
        <w:tc>
          <w:tcPr>
            <w:tcW w:w="81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Style w:val="Strong"/>
                <w:rFonts w:ascii="B Nazanin" w:hAnsi="B Nazanin" w:cs="B Nazanin"/>
                <w:color w:val="333333"/>
                <w:sz w:val="22"/>
                <w:szCs w:val="18"/>
                <w:rtl/>
              </w:rPr>
              <w:t>نمره كل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46/0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62/0</w:t>
            </w:r>
          </w:p>
        </w:tc>
        <w:tc>
          <w:tcPr>
            <w:tcW w:w="8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68/0</w:t>
            </w:r>
          </w:p>
        </w:tc>
        <w:tc>
          <w:tcPr>
            <w:tcW w:w="8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70/0</w:t>
            </w:r>
          </w:p>
        </w:tc>
        <w:tc>
          <w:tcPr>
            <w:tcW w:w="73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55/0</w:t>
            </w:r>
          </w:p>
        </w:tc>
        <w:tc>
          <w:tcPr>
            <w:tcW w:w="7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69/0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72/0</w:t>
            </w:r>
          </w:p>
        </w:tc>
        <w:tc>
          <w:tcPr>
            <w:tcW w:w="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56/0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7B" w:rsidRPr="00AB297B" w:rsidRDefault="00AB297B" w:rsidP="00AB297B">
            <w:pPr>
              <w:jc w:val="center"/>
              <w:rPr>
                <w:rFonts w:ascii="B Nazanin" w:hAnsi="B Nazanin" w:cs="B Nazanin"/>
                <w:color w:val="333333"/>
                <w:sz w:val="22"/>
                <w:szCs w:val="18"/>
              </w:rPr>
            </w:pPr>
            <w:r w:rsidRPr="00AB297B">
              <w:rPr>
                <w:rFonts w:ascii="B Nazanin" w:hAnsi="B Nazanin" w:cs="B Nazanin"/>
                <w:color w:val="333333"/>
                <w:sz w:val="22"/>
                <w:szCs w:val="16"/>
                <w:rtl/>
              </w:rPr>
              <w:t>*</w:t>
            </w:r>
            <w:r w:rsidRPr="00AB297B">
              <w:rPr>
                <w:rFonts w:ascii="B Nazanin" w:hAnsi="B Nazanin" w:cs="B Nazanin"/>
                <w:color w:val="333333"/>
                <w:sz w:val="22"/>
                <w:szCs w:val="18"/>
                <w:rtl/>
              </w:rPr>
              <w:t>23/0</w:t>
            </w:r>
          </w:p>
        </w:tc>
      </w:tr>
    </w:tbl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در بررسي همبستگي و روابط ميان عوامل 9گانه، بين عامل اول (مسائل مربوط به دسترسي) با عاملهاي دوم (مباحث فني و تخصصي)(15/0=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)، پنجم (اجرا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مشي) (16/0=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)، هشتم (مقدمه و تعريفهاي مربوط به انواع منابع الكترونيكي) (22/0=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 و نهم (004/0- =</w:t>
      </w:r>
      <w:r w:rsidRPr="00AB297B">
        <w:rPr>
          <w:rFonts w:ascii="B Nazanin" w:hAnsi="B Nazanin" w:cs="B Nazanin"/>
          <w:color w:val="000000"/>
          <w:sz w:val="22"/>
        </w:rPr>
        <w:t>r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) رابطه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معناداري ديده نمي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شود. همچنين، بين عامل نهم با عاملهاي دوم ، سوم (نيازسنجي از كاربران)، چهارم (بيان رسالت، هدفها و مسائل مالي)، ششم (مسائل مربوط به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سازي)، هفتم (معيارهاي انتخاب منابع الكترونيكي) و هشتم (مقدمه و تعريفهاي مربوط به انواع منابع الكترونيكي) نيز رابطه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 معناداري ديده نمي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شود. عامل نهم تنها با عامل پنجم (اجرا و بازنگري درخط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مشي) ارتباط دارد. به عبارت ديگر، عامل 9، عاملي منزوي و بدون ارتباط با ساير عوامل است. اما بين عاملهاي ديگر در ماتريس همبستگي رابطه معنادار وجود دارد.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در آخر،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معنادار بيانگر روايي سازة همگرا بين نمره كل و 9 عامل به دست آمده است و نشان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دهد كه الگويي براي مديريت مجموعه منابع الكترونيكي يا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آن جهت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مناسب است كه تمامي 9 عامل فوق در آن در نظر گرفته شود. هر چند ارتباط بين عامل نهم (نيروي انساني) با 8 عامل ديگر ضعيف است (جدول 5 و نمودار 1). به منظور آنكه روابط بين 9 عامل تعيين شده بر اساس ضرايب همبستگي بين آنان مشخص شود، نمودار 1 ترسيم شد</w:t>
      </w:r>
      <w:bookmarkStart w:id="36" w:name="_ftnref37"/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28"/>
        </w:rPr>
        <w:instrText>HYPERLINK "http://www.aqlibrary.org/modules/FCKEditor/pnincludes/editor/fckeditor.html?InstanceName=desc&amp;Toolbar=Default" \l "_ftn37" \o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szCs w:val="24"/>
        </w:rPr>
        <w:t>[36]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fldChar w:fldCharType="end"/>
      </w:r>
      <w:bookmarkEnd w:id="36"/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(عصاره و مك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كين، 2008). 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lastRenderedPageBreak/>
        <w:t> </w:t>
      </w:r>
      <w:r w:rsidRPr="00AB297B">
        <w:rPr>
          <w:rFonts w:ascii="B Nazanin" w:hAnsi="B Nazanin" w:cs="B Nazanin"/>
          <w:b/>
          <w:bCs/>
          <w:noProof/>
          <w:color w:val="000000"/>
          <w:sz w:val="22"/>
          <w:szCs w:val="18"/>
        </w:rPr>
        <w:drawing>
          <wp:inline distT="0" distB="0" distL="0" distR="0">
            <wp:extent cx="6162675" cy="4000500"/>
            <wp:effectExtent l="19050" t="0" r="9525" b="0"/>
            <wp:docPr id="127" name="Picture 127" descr="http://www.aqlibrary.org/UserFiles/Image/meh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aqlibrary.org/UserFiles/Image/meh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br w:type="textWrapping" w:clear="all"/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نمودار 1. همبستگي دروني عاملهاي 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گانه حاصل از تحليل مؤلفه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اصلي از نظر مديران كتابخانه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softHyphen/>
        <w:t>هاي دولتي ايران (خط برش 35/0)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همان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طور كه در شكل 1 ملاحظه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ارتباط بين عوامل 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گانه فوق پيچيده و چندبعدياست، اما از نظر ارتباط دروني بين عوامل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گفت مرتبط‌ترين عوامل به ترتيب ضريب همبستگي (جدول 5) عبارتند از: عاملهاي هفتم، چهارم، ششم، سوم، دوم، پنجم، هشتم، يكم و در آخر نهم. به عنوان نمونه، در ادامه به تشريح روابط دو عامل هفتم و چهارم با ساير عوامل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پردازيم. ارتباط بين ساير عوامل به خوبي در شكل 1 نشان داده شده است و با توجه به اصول مديريت مجموعه، قابل تبيين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باشند.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عامل هفتم (معيارهاي انتخاب منابع الكترونيكي)، داراي بيشترين ضريب همبستگي با ساير عوامل است و با شش عامل ديگر، همبستگي و ارتباط دارد. ارتباط اين عامل به ترتيب با عوامل چهارم (بيان رسالت، هدفها و مسائل مالي)، سوم (نيازسنجي از كاربران)، ششم (مسائل مربوط به ديجيتال‌سازي)، پنجم (اجرا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مشي)، يكم (مسائل مربوط به دسترسي) و هشتم (مقدمه و تعريفهاي مربوط به انواع منابع الكترونيكي) است. دو عامل ديگر از نه عامل، يعني عاملهاي دوم (مباحث فني و تخصصي) و نهم (نيروي انساني) با عامل هفتم ارتباطي ضعيف و غيرمستقيم دارند. تمامي اين موارد داراي تأثير و تأثر متقابل هستند. براي مثال، رسالت، هدفها و مسائل مالي، همچنين نيازهاي اطلاعاتي كاربران و شرايط دسترسي، بر معيارهاي انتخاب منابع الكترونيكي تأثير مستقيم دارد.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عامل چهارم (بيان رسالت، هدفها و مسائل مالي) بعد از عامل هفتم داراي بيشترين ضريب همبستگي با ساير عوامل است و به ترتيب با عاملهاي معيارهاي انتخاب منابع الكترونيكي، مسائل مربوط به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سازي، نيازسنجي از كاربران، مسائل مربوط به دسترسي و اجرا و بازنگري در خط‌مشي، ارتباط دارد. تمامي اين موارد، در تدوين عامل چهارم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نقشي اساسي دارند و بر هم تأثيرگذارند. به عنوان مثال، معيارهاي انتخاب منابع الكترونيكي و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آنها، به طور مستقيم متأثر از مسائل مالي است؛ يا نيازسنجي از كاربران و مسائل مربوط به دسترسي، با رسالت و هدفها، كتابخانه ارتباط مستقيم دارد.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بحث و نتيجه</w:t>
      </w: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softHyphen/>
        <w:t>گيري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جمع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بندي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فوق نشان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دهد گرچه اغلب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ذكر كرده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 كه داراي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مديريت مجموعه (به طور كلي) يا مديريت منابع الكترونيكي (به طور خاص) هستند، اما از آنجا كه هيچ يك از آنان نسخه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از آن را ارسال نكرده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اند،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با اندكي احتياط چنين نتيجه گرفت كه يا اين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وجود ندارد و يا به صورت شفاهي موجود است. اين امر، لزوم تهية يك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مدوّن و رسمي براي اين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را آشكار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كند. اين يافته در راستاي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«كوهي رستمي» (1386) است كه دريافت تنها 7/37%از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تحت پوشش وزارت علوم و وزارت بهداشت، داراي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مكتوب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هستند.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چون 6/45% از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مورد بررسي فاقد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براي مديريت منابع الكترونيكي خود هستند، لزوم و ضرورت تدوين يك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و يا ترجمة راهنماهاي مناسب موجود در اين زمينه (مانند راهنماي ايفلا و ...) آشكار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شود. اين يافته، تأييدي بر يافتة «كوهي رستمي» (1386) است كه دريافت 4/75 %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ايران، فاقد راهنمايي براي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منابع الكترونيكي هستند و 4/98%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ايران، تدوين اين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را بسيار ضروري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دانند.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در تدوين چنين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يا الگويي، بايد نيازهاي فعلي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مذكور را با توجه به نيازهاي آتي احتمالي آنان، در نظر گرفت. همچنين، مشكلات موجود فعلي و موانع را برطرف نمود. به نظر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رسد الگويي براي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ايران مناسب است كه: نخست يكدست و براي تمامي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ايران قابل استفاده باشد؛ دوم: آموزش كتابداران و كاربران، تخصيص بودجه لازم براي منابع الكترونيكي، زيرساختهاي فني و تجهيزات و امكانات مورد نياز، و نيروي انساني لازم در آن پيش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بيني شده باشد.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از نظر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ترتيب اهميت 14 عامل اصلي پيشنهادي به عنوان رئوس مطالب يا فهرست مندرجات يك خط‌مشي مديريت منابع الكترونيكي، به ترتيب و بر اساس ميانگين عبارتند از: بودجه و مسائل مالي، ارزيابي به منظور انتخاب يا عدم انتخاب منابع الكترونيكي، مسائل مربوط به كاربران، مسائل مربوط به دسترسي، مسائل مربوط به آرشيو، نگهداري و امنيت، مجوزها و قراردادها،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سازي، مقدمه، فلسفه و هدفها، مسائل مربوط به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آوري، دامنه و تعريفهاي مربوط به انواع منابع الكترونيكي، نسخه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برداري و تكثير، 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مشي، مباحث فني و مباحث مديريت اجرايي.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اما همان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طور كه گفته شد، در بررسي نظرهاي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دولتي ايران و تحليل عامل مؤلفه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مورد بررسي فوق، تنها 9 عامل تشخيص داده شد. بنابراين، با توجه به يافته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اين پژوهش، الگوي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مديريت منابع الكترونيكي براي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ايران بايد شامل 9 عامل محوري باشد. اين عوامل به ترتيب اهميت و بر اساس واريانس تبيين شده عبارتند از: مسائل مربوط به دسترسي، مباحث فني و تخصصي، نيازسنجي از كاربران، بيان رسالت، هدفها و مسائل مالي، 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مشي، مسائل مربوط به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سازي، معيارهاي انتخاب منابع الكترونيكي، مقدمه و تعريفهاي مربوط به انواع منابع الكترونيكي، و در آخر نيروي انساني (جدول 3). يادآوري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ضمن توجه به ترتيب اهميت اين عوامل،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 نظم منطقي موجود در فرايند مديريت مجموعه را در نظر گرفت و در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مناسب، ترتيب منطقي عوامل فوق را به جاي ترتيب اهميت آنها لحاظ كرد.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اما بررسي روابط دروني بين عوامل و ضريب همبستگي آنها، ترتيب ديگري براي اين عوامل نشان داد. محوري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ترين عوامل از نظر ارتباط دروني با ساير عوامل و به ترتيب ضريب همبستگي عبارتند از: عاملهاي هفتم (معيارهاي انتخاب منابع الكترونيكي)، چهارم (بيان رسالت، هدفها و مسائل مالي)، ششم (مسائل مربوط به ديجيتال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سازي)، سوم (نيازسنجي از كاربران)، دوم (مباحث فني و تخصصي)، پنجم (اجرا و بازنگري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مشي)، هشتم (مقدمه و تعريفهاي مربوط به انواع منابع الكترونيكي)، يكم (مسائل مربوط به دسترسي) و در آخر نهم (نيروي انساني).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بدين ترتيب، در تدوين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مديريت منابع الكترونيكي براي كتابخانه‌هاي دانشگاهي ايران بايد به ترتيب اين عوامل، روابط دروني و تأثير و تأثر متقابل آنها توجه داشت و در نظر گرفت كه دسترسي به منابع كه همواره هدف غايي خدمات كتابداري و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 بوده است، در اين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جا نيز حرف اول را مي‌زند. براي رسيدن به اين هدف، بايد زيرساختهاي فني و تخصصي لازم را فراهم نمود و نيازسنجي اطلاعات كاربران را انجام داد. يادآوري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شود، تمامي عوامل فوق به نوعي متأثر از عامل هفتم (معيارهاي انتخاب منابع الكترونيكي) هستند (جدول 5 و شكل 1) و هر گونه اشتباهي در انتخاب منابع الكترونيكي مي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تواند بر ساير عوامل اثرگذار باشد و عملكرد آنها را متأثر سازد.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28"/>
          <w:rtl/>
        </w:rPr>
        <w:t>منابع</w:t>
      </w:r>
    </w:p>
    <w:p w:rsidR="00AB297B" w:rsidRPr="00AB297B" w:rsidRDefault="00AB297B" w:rsidP="00AB297B">
      <w:pPr>
        <w:jc w:val="center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Style w:val="Strong"/>
          <w:rFonts w:ascii="B Nazanin" w:hAnsi="B Nazanin" w:cs="B Nazanin"/>
          <w:color w:val="000000"/>
          <w:sz w:val="22"/>
          <w:szCs w:val="18"/>
          <w:rtl/>
        </w:rPr>
        <w:t> 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- ارجمند، تاج الملوك (1383). «مديريت مجلات الكترونيكي در كتابخانه‌ها». كتابداري و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رساني، 28 (زمستان). ص. 69-81.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اصنافي، امير رضا (1382). «مديريت منابع الكترونيكي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دانشكده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دانشگاه شهيد چمران اهواز». مجله الكترونيكي مركز اطلاعات و مدارك علمي ايران، 28 دي ماه.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امير پورسعيد، نوشين (1373). طرح ايجاد شبكه همكاري بين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شهيد باهنر و علوم پزشكي كرمان.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نامه كارشناسي ارشد. تهران: دانشگاه تهران، دانشكده روانشناسي و علوم تربيتي.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ـ بني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اقبال، ناهيد (1373). «بررسي وضعيت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دانشكده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دانشگاه تهران». فصلنامه پيام كتابخانه، 4 (1،2)، 77- 87.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بيگدلي، زاهد (1385). «تأثير نمايشگاه بين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المللي كتاب تهران بر روند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ايران». فصلنامه كتاب، 17(1)، 321-330.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جردن، جي (2002). دستورالعمل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جديد براي توسعۀ مجموعۀ الكترونيكي. در: لي، سول اچ (ويراستار). منابع الكترونيكي و توسعۀ مجموعه كتابخانه. ترجمۀ عليرضا رستمي گومه (1383). تهران: چاپار.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حقيقي، مسعود (1356). پژوهشي درباره ارزيابي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و مقررات مربوط به انتخاب و تهيه مواد و مجموعه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 تهران، دانشگاه ملّي ايران و دانشگاه صنعتي آريامهر.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نامه كارشناسي ارشد كتابداري و اطلاع‌رساني. تهران: دانشگاه تهران، دانشكده علوم تربيتي.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دياني، محمدحسين (1377).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و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آوري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ها. اهواز: دانشگاه شهيد چمران اهواز.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ديلون، دنيس (2002). ماهيگيري در رودخانۀ الكترونيكي: فناوري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اخلالگر، غير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و محيط اطلاعات. در: لي، سول اچ (ويراستار). منابع الكترونيكي و توسعۀ مجموعه كتابخانه. ترجمۀ عليرضا رستمي گومه (1383). تهران: چاپار.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روستو، مارسيا (1995). مواد جديد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اي و مديريت اطلاعات: كتاب الكترونيك </w:t>
      </w:r>
      <w:r w:rsidRPr="00AB297B">
        <w:rPr>
          <w:rFonts w:ascii="B Nazanin" w:hAnsi="B Nazanin" w:cs="B Nazanin" w:hint="cs"/>
          <w:color w:val="000000"/>
          <w:sz w:val="22"/>
          <w:szCs w:val="28"/>
          <w:rtl/>
        </w:rPr>
        <w:t xml:space="preserve">↔ كتابخانه الكترونيك. ترجمه مرتضي كوكبي. (1375).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در: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گزيده مقالات ايفلا: (تركيه: 20- 26 اوت، 1995). زير نظر عباس حري؛ به همت تاج‌الملوك ارجمند. تهران: كتابخانه ملّي جمهوري اسلامي ايران. ص. 269- 286.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زارع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پور، رقيه (1373). بررسي ميزان همپوشاني عناوين نشريات ادواري خارجي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 علوم پزشكي شيراز و بيمارستان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تابعه در شهر شيراز طي سال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1992- 1990.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نامۀ كارشناسي ارشد. تهران: دانشگاه تهران، دانشكدۀ روانشناسي و علوم تربيتي.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زارعي، عاطفه (1380). بررسي استفاده از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و شناسايي مشكلات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گستري از ديدگاه مديران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مجري دورۀ كارشناسي ارشد كتابداري و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نامۀ كارشناسي ارشد. اهواز: دانشگاه شهيد چمران اهواز، دانشكدۀ علوم تربيتي و روانشناسي.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زندي، هوشنگ (1373). بررسي نظرات مسئولين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درباره تعاون و اشتراك منابع بين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علوم پزشكي كشور.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نامه كارشناسي ارشد. تهران: دانشگاه علوم پزشكي ايران، دانشكده مديريت و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 پزشكي.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زنديان، فاطمه (1372). ارزشيابي مجموعۀ منابع مرجع فني و مهندسي در سه دانشگاه ايران. فصلنامۀ كتاب، 2: 211- 241.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سايمون، اليزابت (1996). متخصصان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 و لزوم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و ساختارهاي جديد در اين حرفه. ترجمه علي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حسين قاسمي. (1380).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در: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چهل و هشتمين كنگره فيد: گزيده مقالات (اتريش: 25- 20 اكتبر، 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1996). زير نظر حسين غريبي؛ به همت ملوك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السادات بهشتي. تهران: مركز اطلاعات و مدارك علمي ايران. ص.425- 441.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سپهر، فرشته (1378). «وضعيّت انتخاب و سفارش نشريات ادواري لاتين در كتابخانه‌هاي مركزي دانشگاه‌هاي كشور». كتابداري، دفتر 30-31. ص. 59-85.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سينايي، علي (1376).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ها. تهران: سازمان مطالعه و تدوين كتب علوم انساني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 (سمت).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سينق، اس. پي. (2004). «مديريت مجموعه در محيط الكترونيكي». ترجمه زهرا بتولي (1384). نما (مجله الكترونيكي پژوهشگاه اطلاعات و مدارك علمي ايران)، دورة پنجم، شمارة اول (شهريور).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شادان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پور، فرزانه (1384). «خط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و گسترش مجموعه».- فصلنامة كتاب، دورة شانزدهم، شمارة اول ص. 53-62.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شعباني، احمد (1377). بررسي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ايران و الگوي مناسب براي آن.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نامۀ دكتري. تهران: دانشگاه آزاد، واحد علوم و تحقيقات.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علوي، سهيلا (1372). بررسي وضعيت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دانشكده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اي دانشگاه اروميه.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نامه كارشناسي ارشد. تهران: دانشگاه تهران، دانشكده علوم تربيتي و روانشناسي.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كرو، ويليام جي. (2002). توسعۀ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آرشيوي و تخصصي در عصر الكترونيك. در: لي، سول اچ (ويراستار). منابع الكترونيكي و توسعۀ مجموعه كتابخانه. ترجمۀ عليرضا رستمي گومه (1383). تهران: چاپار.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كوهي رستمي، منصور (1386). مقايسۀ وضعيت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مجموعه‌گستري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تحت نظارت وزارت علوم، تحقيقات وفناوري و وزارت بهداشت، درمان و آموزش پزشكي.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نامۀ كارشناسي ارشد. اهواز: دانشگاه شهيد چمران اهواز، دانشكدۀ علوم تربيتي. 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كيد، توني (1997). مديريت مجلات الكترونيكي: برخي مسائل و راه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حل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ها. ترجمه جواد بشيري (1378). فصلنامۀ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رساني. دوره چهاردهم، شمارۀ سوم و چهارم (بهار و تابستان). قابل دسترسي در:</w:t>
      </w:r>
    </w:p>
    <w:p w:rsidR="00AB297B" w:rsidRPr="00AB297B" w:rsidRDefault="00AB297B" w:rsidP="00AB297B">
      <w:pPr>
        <w:ind w:firstLine="567"/>
        <w:rPr>
          <w:rFonts w:ascii="B Nazanin" w:hAnsi="B Nazanin" w:cs="B Nazanin"/>
          <w:color w:val="000000"/>
          <w:sz w:val="22"/>
          <w:szCs w:val="18"/>
          <w:rtl/>
        </w:rPr>
      </w:pPr>
      <w:hyperlink r:id="rId6" w:history="1">
        <w:r w:rsidRPr="00AB297B">
          <w:rPr>
            <w:rStyle w:val="Hyperlink"/>
            <w:rFonts w:ascii="B Nazanin" w:hAnsi="B Nazanin" w:cs="B Nazanin"/>
            <w:color w:val="auto"/>
            <w:sz w:val="22"/>
          </w:rPr>
          <w:t>http://www.irandoc.ac.ir/etela-art/14/14-3&amp;4-10.htm</w:t>
        </w:r>
      </w:hyperlink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ـ ليندن، فردريك سي. (1996). اشتراك منابع: امكان گذار از اطلاعات كاغذي به اطلاعات الكترونيكي. ترجمه عباس گيلوري. (1380).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در: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چهل و هشتمين كنگره فيد: گزيده مقالات (اتريش: 25- 20 اكتبر، 1996). زير نظر حسين غريبي؛ به همت ملوك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السادات بهشتي. تهران: مركز اطلاعات و مدارك علمي ايران. ص. 442- 460.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محسني، حميد (1382).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 و خدمات تحويل مدرك. تهران: كتابدار.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ــــــــــــــــــ  ( 1385). مديريت مجلات. تهران: كتابدار.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محقق، نيلوفر (1375). بررسي وضعيت مبادله اطلاعات و منابع ميان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دانشگاهي شهر تهران. پايان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نامه كارشناسي ارشد. تهران: دانشگاه تهران، دانشكده روانشناسي و علوم تربيتي.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lastRenderedPageBreak/>
        <w:t>ـ ميثمي، رقيه و زهره ميرحسيني (1385). «تعيين هزينه- اثربخشي منابع الكترونيكي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تخصصي شهر تهران». فصلنامه علوم و فناوري اطلاعات، 21(4، تابستان)، 41-64.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واگل، كريستين دي (1378). ادغام منابع الكترونيك در خط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مشي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سازي. ترجمۀ گل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نساء گليني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مقدم. فصلنامۀ كتابداري و اطلاع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رساني. شمارۀ 2: 105- 120.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ويكري، جيم (1995). فراهم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آوري در عصر الكترونيك، يا، مباني دستيابي به اطلاعات. ترجمه مهوش بهنام. (1375).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در: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گزيده مقالات ايفلا: (تركيه: 20- 26 اوت، 1995). زير نظر عباس حري؛ به همت تاج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الملوك ارجمند. تهران: كتابخانه ملّي جمهوري اسلامي ايران. ص. 108- 118.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>ـ هاشم‌زاده، محمدجواد (1375). «تحليل سياست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>هاي گزينش نشريات ادواري لاتين در كتابخانه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softHyphen/>
        <w:t xml:space="preserve">هاي مركزي دانشگاهي ايران». </w:t>
      </w:r>
      <w:r w:rsidRPr="00AB297B">
        <w:rPr>
          <w:rStyle w:val="Strong"/>
          <w:rFonts w:ascii="B Nazanin" w:hAnsi="B Nazanin" w:cs="B Nazanin"/>
          <w:color w:val="000000"/>
          <w:sz w:val="22"/>
          <w:rtl/>
        </w:rPr>
        <w:t>فصلنامه اطلاع</w:t>
      </w:r>
      <w:r w:rsidRPr="00AB297B">
        <w:rPr>
          <w:rStyle w:val="Strong"/>
          <w:rFonts w:ascii="B Nazanin" w:hAnsi="B Nazanin" w:cs="B Nazanin"/>
          <w:color w:val="000000"/>
          <w:sz w:val="22"/>
          <w:rtl/>
        </w:rPr>
        <w:softHyphen/>
        <w:t>رساني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>، دورة يازدهم، شماره چهارم، 46-52.</w:t>
      </w:r>
    </w:p>
    <w:p w:rsidR="00AB297B" w:rsidRPr="00AB297B" w:rsidRDefault="00AB297B" w:rsidP="00AB297B">
      <w:pPr>
        <w:ind w:firstLine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ـ يانگر، جنيفر (2002). </w:t>
      </w:r>
      <w:r w:rsidRPr="00AB297B">
        <w:rPr>
          <w:rStyle w:val="Strong"/>
          <w:rFonts w:ascii="B Nazanin" w:hAnsi="B Nazanin" w:cs="B Nazanin"/>
          <w:color w:val="000000"/>
          <w:sz w:val="22"/>
          <w:rtl/>
        </w:rPr>
        <w:t>ديدگاه سازماني دربارۀ منابع الكترونيكي و توسعۀ مجموعه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. </w:t>
      </w:r>
      <w:r w:rsidRPr="00AB297B">
        <w:rPr>
          <w:rStyle w:val="Emphasis"/>
          <w:rFonts w:ascii="B Nazanin" w:hAnsi="B Nazanin" w:cs="B Nazanin"/>
          <w:color w:val="000000"/>
          <w:sz w:val="22"/>
          <w:szCs w:val="28"/>
          <w:rtl/>
        </w:rPr>
        <w:t>در:</w:t>
      </w:r>
      <w:r w:rsidRPr="00AB297B">
        <w:rPr>
          <w:rFonts w:ascii="B Nazanin" w:hAnsi="B Nazanin" w:cs="B Nazanin"/>
          <w:color w:val="000000"/>
          <w:sz w:val="22"/>
          <w:szCs w:val="28"/>
          <w:rtl/>
        </w:rPr>
        <w:t xml:space="preserve"> لي، سول اچ (ويراستار). منابع الكترونيكي و توسعۀ مجموعه كتابخانه. ترجمۀ عليرضا رستمي گومه (1383). تهران: چاپار.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Agee, Jim (2005). Collection Evaluation: a Foundation for Collection Development.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Collection Building.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24(3), 92- 95.</w:t>
      </w:r>
      <w:proofErr w:type="gramEnd"/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American Library Association (1989).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Guide for Written Collection Policy Statements.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Chicago: ALA.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Dilevko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, J. &amp; Gottlieb, L. (2002). Print Sources in an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Electronical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 Age: Vital Part of Research Process for Undergraduate Students.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The Journal of Academic Librarianship.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28(6), 381-392. 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>- Evans, E. (2000).Basics of Management for Information Professionals. New York: Neal-Schuman Publishers.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Futas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, Elizabeth (1995).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Collection Development Policies and Procedures.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Third Edition.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Phoenix, Arizona: Oryx Press.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>- Johnson, Peggy (1994). Writing Collection development policy statements: getting started. Technicalities, 14 (10), 2-5.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Kortelainen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,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Terttu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. (2004).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An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Analysis of the Use of Electronic Journals and Commercial Journal Article Collections through the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FinElib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 Portal.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Information Research.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9(2).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Available at: </w:t>
      </w:r>
      <w:hyperlink r:id="rId7" w:history="1">
        <w:r w:rsidRPr="00AB297B">
          <w:rPr>
            <w:rStyle w:val="Hyperlink"/>
            <w:rFonts w:ascii="B Nazanin" w:hAnsi="B Nazanin" w:cs="B Nazanin"/>
            <w:color w:val="auto"/>
            <w:sz w:val="22"/>
          </w:rPr>
          <w:t>http://informationr.net/ir/9-2/paper168.html</w:t>
        </w:r>
      </w:hyperlink>
      <w:r w:rsidRPr="00AB297B">
        <w:rPr>
          <w:rFonts w:ascii="B Nazanin" w:hAnsi="B Nazanin" w:cs="B Nazanin"/>
          <w:color w:val="000000"/>
          <w:sz w:val="22"/>
        </w:rPr>
        <w:t xml:space="preserve"> 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Osareh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, F. (2003)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The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use and application of multivariate analysis techniques in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bibliometric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 and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scientometric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 studies, Iranian Journal of Information Science and Technology, 1(2): 59-71.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Osareh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, F;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Mccain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 xml:space="preserve"> KW (2008). The Structure of Iranian Chemistry Research, 1990- 2008: An Author Co-Citation Analysis. Journal of the American Society for Information Science and Technology, 59 (13): 2146-2155.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proofErr w:type="spellStart"/>
      <w:r w:rsidRPr="00AB297B">
        <w:rPr>
          <w:rFonts w:ascii="B Nazanin" w:hAnsi="B Nazanin" w:cs="B Nazanin"/>
          <w:color w:val="000000"/>
          <w:sz w:val="22"/>
        </w:rPr>
        <w:t>Vignau</w:t>
      </w:r>
      <w:proofErr w:type="spellEnd"/>
      <w:r w:rsidRPr="00AB297B">
        <w:rPr>
          <w:rFonts w:ascii="B Nazanin" w:hAnsi="B Nazanin" w:cs="B Nazanin"/>
          <w:color w:val="000000"/>
          <w:sz w:val="22"/>
        </w:rPr>
        <w:t>, Sanchez; Susana, Barbara (2006). Collection development in digital environment: an imperative for information organizations in the twenty first century. Collection Building, 25 (4), pp. 139-144.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Vogel, Kristin D (1996).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Integrating Electronic Resource to Collection Policies.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Collection Development, 21 (2): 65-75. 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lastRenderedPageBreak/>
        <w:t xml:space="preserve">- White, Gary W. &amp; Crawford, Gregory A. (1997).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Developing an electronic resources Collection development policy.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</w:t>
      </w:r>
      <w:proofErr w:type="gramStart"/>
      <w:r w:rsidRPr="00AB297B">
        <w:rPr>
          <w:rFonts w:ascii="B Nazanin" w:hAnsi="B Nazanin" w:cs="B Nazanin"/>
          <w:color w:val="000000"/>
          <w:sz w:val="22"/>
        </w:rPr>
        <w:t>Asian Libraries.</w:t>
      </w:r>
      <w:proofErr w:type="gramEnd"/>
      <w:r w:rsidRPr="00AB297B">
        <w:rPr>
          <w:rFonts w:ascii="B Nazanin" w:hAnsi="B Nazanin" w:cs="B Nazanin"/>
          <w:color w:val="000000"/>
          <w:sz w:val="22"/>
        </w:rPr>
        <w:t xml:space="preserve"> 6 (1/2), pp. 51-56.</w:t>
      </w:r>
    </w:p>
    <w:p w:rsidR="00AB297B" w:rsidRPr="00AB297B" w:rsidRDefault="00AB297B" w:rsidP="00AB297B">
      <w:pPr>
        <w:ind w:hanging="567"/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</w:rPr>
        <w:t xml:space="preserve">- </w:t>
      </w:r>
      <w:hyperlink r:id="rId8" w:history="1">
        <w:r w:rsidRPr="00AB297B">
          <w:rPr>
            <w:rStyle w:val="Hyperlink"/>
            <w:rFonts w:ascii="B Nazanin" w:hAnsi="B Nazanin" w:cs="B Nazanin"/>
            <w:color w:val="auto"/>
            <w:sz w:val="22"/>
          </w:rPr>
          <w:t>www.Unesco.org/webworld/memory/legaldep.htm</w:t>
        </w:r>
      </w:hyperlink>
    </w:p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br w:type="textWrapping" w:clear="all"/>
      </w:r>
    </w:p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pict>
          <v:rect id="_x0000_i1025" style="width:154.45pt;height:.75pt" o:hrpct="330" o:hrstd="t" o:hrnoshade="t" o:hr="t" fillcolor="black" stroked="f"/>
        </w:pict>
      </w:r>
    </w:p>
    <w:bookmarkStart w:id="37" w:name="_ftn1"/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instrText>HYPERLINK "http://www.aqlibrary.org/modules/FCKEditor/pnincludes/editor/fckeditor.html?InstanceName=desc&amp;Toolbar=Default" \l "_ftnref1" \o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instrText xml:space="preserve"> "" </w:instrTex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  <w:rtl/>
        </w:rPr>
        <w:t>*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fldChar w:fldCharType="end"/>
      </w:r>
      <w:bookmarkEnd w:id="37"/>
      <w:r w:rsidRPr="00AB297B">
        <w:rPr>
          <w:rFonts w:ascii="B Nazanin" w:hAnsi="B Nazanin" w:cs="B Nazanin"/>
          <w:color w:val="000000"/>
          <w:sz w:val="22"/>
          <w:szCs w:val="18"/>
          <w:rtl/>
        </w:rPr>
        <w:t xml:space="preserve"> اين مقاله، برگرفته از پايان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نامه دكتراي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رساني با عنوان «ارائه الگوي مديريت منابع الكترونيكي براي كتابخانه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مركزي دانشگاه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هاي دولتي ايران» مي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باشد.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1. استاد گروه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رساني دانشگاه شهيد چمران اهواز </w:t>
      </w:r>
      <w:r w:rsidRPr="00AB297B">
        <w:rPr>
          <w:rFonts w:ascii="B Nazanin" w:hAnsi="B Nazanin" w:cs="B Nazanin"/>
          <w:color w:val="000000"/>
          <w:sz w:val="22"/>
          <w:szCs w:val="18"/>
        </w:rPr>
        <w:t>bigdeli-zahed@yahoo.com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2. استاد گروه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رساني دانشگاه شهيد چمران اهواز </w:t>
      </w:r>
      <w:r w:rsidRPr="00AB297B">
        <w:rPr>
          <w:rFonts w:ascii="B Nazanin" w:hAnsi="B Nazanin" w:cs="B Nazanin"/>
          <w:color w:val="000000"/>
          <w:sz w:val="22"/>
          <w:szCs w:val="18"/>
        </w:rPr>
        <w:t>osareh-f@gmail.com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 xml:space="preserve">3. استاديار گروه مشاوره دانشگاه شهيد چمران اهواز. </w:t>
      </w:r>
    </w:p>
    <w:p w:rsidR="00AB297B" w:rsidRP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4. دانشجوي دوره دكتراي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رساني دانشگاه شهيد چمران اهواز و عضو هيئت علمي گروه كتابداري و اطلاع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رساني پزشكي دانشگاه علوم پزشكي جندي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 xml:space="preserve">شاپور اهواز </w:t>
      </w:r>
      <w:r w:rsidRPr="00AB297B">
        <w:rPr>
          <w:rFonts w:ascii="B Nazanin" w:hAnsi="B Nazanin" w:cs="B Nazanin"/>
          <w:color w:val="000000"/>
          <w:sz w:val="22"/>
          <w:szCs w:val="18"/>
        </w:rPr>
        <w:t>firoozehz@yahoo.com</w:t>
      </w:r>
    </w:p>
    <w:bookmarkStart w:id="38" w:name="_ftn6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  <w:rtl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"_ftnref6"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[5]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38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Rosetto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gramEnd"/>
    </w:p>
    <w:bookmarkStart w:id="39" w:name="_ftn7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"_ftnref7"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[6]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39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Vickery.</w:t>
      </w:r>
      <w:proofErr w:type="gramEnd"/>
    </w:p>
    <w:bookmarkStart w:id="40" w:name="_ftn8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"_ftnref8"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[7]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0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Portability.</w:t>
      </w:r>
      <w:proofErr w:type="gramEnd"/>
    </w:p>
    <w:bookmarkStart w:id="41" w:name="_ftn9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"_ftnref9"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[8]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1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Multimedia Capability.</w:t>
      </w:r>
      <w:proofErr w:type="gramEnd"/>
    </w:p>
    <w:bookmarkStart w:id="42" w:name="_ftn10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"_ftnref10"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[9]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2"/>
      <w:r w:rsidRPr="00AB297B">
        <w:rPr>
          <w:rFonts w:ascii="B Nazanin" w:hAnsi="B Nazanin" w:cs="B Nazanin"/>
          <w:color w:val="000000"/>
          <w:sz w:val="22"/>
          <w:szCs w:val="18"/>
        </w:rPr>
        <w:t>. Linden.</w:t>
      </w:r>
    </w:p>
    <w:bookmarkStart w:id="43" w:name="_ftn11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"_ftnref11"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[10]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3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Server.</w:t>
      </w:r>
      <w:proofErr w:type="gramEnd"/>
    </w:p>
    <w:bookmarkStart w:id="44" w:name="_ftn12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"_ftnref12"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[11]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4"/>
      <w:r w:rsidRPr="00AB297B">
        <w:rPr>
          <w:rFonts w:ascii="B Nazanin" w:hAnsi="B Nazanin" w:cs="B Nazanin"/>
          <w:color w:val="000000"/>
          <w:sz w:val="22"/>
          <w:szCs w:val="18"/>
        </w:rPr>
        <w:t>. Jordan.</w:t>
      </w:r>
    </w:p>
    <w:bookmarkStart w:id="45" w:name="_ftn13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"_ftnref13"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[12]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5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User Interface.</w:t>
      </w:r>
      <w:proofErr w:type="gramEnd"/>
    </w:p>
    <w:bookmarkStart w:id="46" w:name="_ftn14"/>
    <w:p w:rsidR="00AB297B" w:rsidRPr="00AB297B" w:rsidRDefault="00AB297B" w:rsidP="00AB297B">
      <w:pPr>
        <w:spacing w:line="216" w:lineRule="auto"/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"_ftnref14"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[13]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6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Singh.</w:t>
      </w:r>
      <w:proofErr w:type="gramEnd"/>
    </w:p>
    <w:bookmarkStart w:id="47" w:name="_ftn15"/>
    <w:p w:rsidR="00AB297B" w:rsidRPr="00AB297B" w:rsidRDefault="00AB297B" w:rsidP="00AB297B">
      <w:pPr>
        <w:spacing w:line="216" w:lineRule="auto"/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"_ftnref15"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[14]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7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Vignua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gramEnd"/>
    </w:p>
    <w:bookmarkStart w:id="48" w:name="_ftn16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"_ftnref16"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[15]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8"/>
      <w:r w:rsidRPr="00AB297B">
        <w:rPr>
          <w:rFonts w:ascii="B Nazanin" w:hAnsi="B Nazanin" w:cs="B Nazanin"/>
          <w:color w:val="000000"/>
          <w:sz w:val="22"/>
          <w:szCs w:val="18"/>
        </w:rPr>
        <w:t>. Johnson.</w:t>
      </w:r>
    </w:p>
    <w:bookmarkStart w:id="49" w:name="_ftn17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"_ftnref17"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[16]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49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Futas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gramEnd"/>
    </w:p>
    <w:bookmarkStart w:id="50" w:name="_ftn18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"_ftnref18"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[17]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0"/>
      <w:r w:rsidRPr="00AB297B">
        <w:rPr>
          <w:rFonts w:ascii="B Nazanin" w:hAnsi="B Nazanin" w:cs="B Nazanin"/>
          <w:color w:val="000000"/>
          <w:sz w:val="22"/>
          <w:szCs w:val="18"/>
        </w:rPr>
        <w:t>. Simon.</w:t>
      </w:r>
    </w:p>
    <w:bookmarkStart w:id="51" w:name="_ftn19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"_ftnref19"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[18]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1"/>
      <w:r w:rsidRPr="00AB297B">
        <w:rPr>
          <w:rFonts w:ascii="B Nazanin" w:hAnsi="B Nazanin" w:cs="B Nazanin"/>
          <w:color w:val="000000"/>
          <w:sz w:val="22"/>
          <w:szCs w:val="18"/>
        </w:rPr>
        <w:t>. Kidd.</w:t>
      </w:r>
    </w:p>
    <w:bookmarkStart w:id="52" w:name="_ftn20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"_ftnref20"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[19]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2"/>
      <w:r w:rsidRPr="00AB297B">
        <w:rPr>
          <w:rFonts w:ascii="B Nazanin" w:hAnsi="B Nazanin" w:cs="B Nazanin"/>
          <w:color w:val="000000"/>
          <w:sz w:val="22"/>
          <w:szCs w:val="18"/>
        </w:rPr>
        <w:t>. Stewart.</w:t>
      </w:r>
    </w:p>
    <w:bookmarkStart w:id="53" w:name="_ftn21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"_ftnref21"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[20]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3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Younger.</w:t>
      </w:r>
      <w:proofErr w:type="gramEnd"/>
    </w:p>
    <w:bookmarkStart w:id="54" w:name="_ftn22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"_ftnref22"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[21]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4"/>
      <w:r w:rsidRPr="00AB297B">
        <w:rPr>
          <w:rFonts w:ascii="B Nazanin" w:hAnsi="B Nazanin" w:cs="B Nazanin"/>
          <w:color w:val="000000"/>
          <w:sz w:val="22"/>
          <w:szCs w:val="18"/>
        </w:rPr>
        <w:t>. Dillon.</w:t>
      </w:r>
    </w:p>
    <w:bookmarkStart w:id="55" w:name="_ftn23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"_ftnref23"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[22]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5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Crowe.</w:t>
      </w:r>
      <w:proofErr w:type="gramEnd"/>
    </w:p>
    <w:bookmarkStart w:id="56" w:name="_ftn24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"_ftnref24"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[23]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6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Kortelainen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gramEnd"/>
    </w:p>
    <w:bookmarkStart w:id="57" w:name="_ftn25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"_ftnref25"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[24]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7"/>
      <w:r w:rsidRPr="00AB297B">
        <w:rPr>
          <w:rFonts w:ascii="B Nazanin" w:hAnsi="B Nazanin" w:cs="B Nazanin"/>
          <w:color w:val="000000"/>
          <w:sz w:val="22"/>
          <w:szCs w:val="18"/>
        </w:rPr>
        <w:t>. Agee.</w:t>
      </w:r>
    </w:p>
    <w:bookmarkStart w:id="58" w:name="_ftn26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"_ftnref26"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[25]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8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Kovac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 xml:space="preserve"> &amp; </w:t>
      </w:r>
      <w:proofErr w:type="spellStart"/>
      <w:r w:rsidRPr="00AB297B">
        <w:rPr>
          <w:rFonts w:ascii="B Nazanin" w:hAnsi="B Nazanin" w:cs="B Nazanin"/>
          <w:color w:val="000000"/>
          <w:sz w:val="22"/>
          <w:szCs w:val="18"/>
        </w:rPr>
        <w:t>Elkorby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gramEnd"/>
      <w:r w:rsidRPr="00AB297B">
        <w:rPr>
          <w:rFonts w:ascii="B Nazanin" w:hAnsi="B Nazanin" w:cs="B Nazanin"/>
          <w:color w:val="000000"/>
          <w:sz w:val="22"/>
          <w:szCs w:val="18"/>
        </w:rPr>
        <w:t xml:space="preserve"> </w:t>
      </w:r>
    </w:p>
    <w:bookmarkStart w:id="59" w:name="_ftn27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"_ftnref27"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[26]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59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Hazen.</w:t>
      </w:r>
      <w:proofErr w:type="gramEnd"/>
    </w:p>
    <w:bookmarkStart w:id="60" w:name="_ftn28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"_ftnref28"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[27]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0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The Collection Development Policies Committee.</w:t>
      </w:r>
      <w:proofErr w:type="gramEnd"/>
      <w:r w:rsidRPr="00AB297B">
        <w:rPr>
          <w:rFonts w:ascii="B Nazanin" w:hAnsi="B Nazanin" w:cs="B Nazanin"/>
          <w:color w:val="000000"/>
          <w:sz w:val="22"/>
          <w:szCs w:val="18"/>
        </w:rPr>
        <w:t> </w:t>
      </w:r>
    </w:p>
    <w:bookmarkStart w:id="61" w:name="_ftn29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"_ftnref29"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[28]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1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Collection Development &amp; Evaluation Section.</w:t>
      </w:r>
      <w:proofErr w:type="gramEnd"/>
      <w:r w:rsidRPr="00AB297B">
        <w:rPr>
          <w:rFonts w:ascii="B Nazanin" w:hAnsi="B Nazanin" w:cs="B Nazanin"/>
          <w:color w:val="000000"/>
          <w:sz w:val="22"/>
          <w:szCs w:val="18"/>
        </w:rPr>
        <w:t xml:space="preserve">   </w:t>
      </w:r>
    </w:p>
    <w:bookmarkStart w:id="62" w:name="_ftn30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"_ftnref30"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[29]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2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American Library Association.</w:t>
      </w:r>
      <w:proofErr w:type="gramEnd"/>
      <w:r w:rsidRPr="00AB297B">
        <w:rPr>
          <w:rFonts w:ascii="B Nazanin" w:hAnsi="B Nazanin" w:cs="B Nazanin"/>
          <w:color w:val="000000"/>
          <w:sz w:val="22"/>
          <w:szCs w:val="18"/>
        </w:rPr>
        <w:t xml:space="preserve"> </w:t>
      </w:r>
    </w:p>
    <w:bookmarkStart w:id="63" w:name="_ftn31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"_ftnref31"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[30]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3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spellStart"/>
      <w:r w:rsidRPr="00AB297B">
        <w:rPr>
          <w:rFonts w:ascii="B Nazanin" w:hAnsi="B Nazanin" w:cs="B Nazanin"/>
          <w:color w:val="000000"/>
          <w:sz w:val="22"/>
          <w:szCs w:val="18"/>
        </w:rPr>
        <w:t>Likert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 xml:space="preserve"> Scale.</w:t>
      </w:r>
    </w:p>
    <w:bookmarkStart w:id="64" w:name="_ftn32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"_ftnref32"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[31]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4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Factor Analysis.</w:t>
      </w:r>
      <w:proofErr w:type="gramEnd"/>
    </w:p>
    <w:bookmarkStart w:id="65" w:name="_ftn33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"_ftnref33"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[32]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5"/>
      <w:r w:rsidRPr="00AB297B">
        <w:rPr>
          <w:rFonts w:ascii="B Nazanin" w:hAnsi="B Nazanin" w:cs="B Nazanin"/>
          <w:color w:val="000000"/>
          <w:sz w:val="22"/>
          <w:szCs w:val="18"/>
        </w:rPr>
        <w:t>. Friedman Test.</w:t>
      </w:r>
    </w:p>
    <w:bookmarkStart w:id="66" w:name="_ftn34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lastRenderedPageBreak/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"_ftnref34"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[33]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6"/>
      <w:r w:rsidRPr="00AB297B">
        <w:rPr>
          <w:rFonts w:ascii="B Nazanin" w:hAnsi="B Nazanin" w:cs="B Nazanin"/>
          <w:color w:val="000000"/>
          <w:sz w:val="22"/>
          <w:szCs w:val="18"/>
        </w:rPr>
        <w:t>. Principal Component Analysis.</w:t>
      </w:r>
    </w:p>
    <w:bookmarkStart w:id="67" w:name="_ftn35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"_ftnref35"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[34]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7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  <w:proofErr w:type="spellStart"/>
      <w:r w:rsidRPr="00AB297B">
        <w:rPr>
          <w:rFonts w:ascii="B Nazanin" w:hAnsi="B Nazanin" w:cs="B Nazanin"/>
          <w:color w:val="000000"/>
          <w:sz w:val="22"/>
          <w:szCs w:val="18"/>
        </w:rPr>
        <w:t>Varimax</w:t>
      </w:r>
      <w:proofErr w:type="spellEnd"/>
      <w:r w:rsidRPr="00AB297B">
        <w:rPr>
          <w:rFonts w:ascii="B Nazanin" w:hAnsi="B Nazanin" w:cs="B Nazanin"/>
          <w:color w:val="000000"/>
          <w:sz w:val="22"/>
          <w:szCs w:val="18"/>
        </w:rPr>
        <w:t>.</w:t>
      </w:r>
    </w:p>
    <w:bookmarkStart w:id="68" w:name="_ftn36"/>
    <w:p w:rsidR="00AB297B" w:rsidRPr="00AB297B" w:rsidRDefault="00AB297B" w:rsidP="00AB297B">
      <w:pPr>
        <w:jc w:val="both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</w:rPr>
        <w:fldChar w:fldCharType="begin"/>
      </w:r>
      <w:r w:rsidRPr="00AB297B">
        <w:rPr>
          <w:rFonts w:ascii="B Nazanin" w:hAnsi="B Nazanin" w:cs="B Nazanin"/>
          <w:color w:val="000000"/>
          <w:sz w:val="22"/>
          <w:szCs w:val="18"/>
        </w:rPr>
        <w:instrText xml:space="preserve"> HYPERLINK "http://www.aqlibrary.org/modules/FCKEditor/pnincludes/editor/fckeditor.html?InstanceName=desc&amp;Toolbar=Default" \l "_ftnref36" \o "" </w:instrTex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separate"/>
      </w:r>
      <w:r w:rsidRPr="00AB297B">
        <w:rPr>
          <w:rStyle w:val="Hyperlink"/>
          <w:rFonts w:ascii="B Nazanin" w:hAnsi="B Nazanin" w:cs="B Nazanin"/>
          <w:sz w:val="22"/>
        </w:rPr>
        <w:t>[35]</w:t>
      </w:r>
      <w:r w:rsidRPr="00AB297B">
        <w:rPr>
          <w:rFonts w:ascii="B Nazanin" w:hAnsi="B Nazanin" w:cs="B Nazanin"/>
          <w:color w:val="000000"/>
          <w:sz w:val="22"/>
          <w:szCs w:val="18"/>
        </w:rPr>
        <w:fldChar w:fldCharType="end"/>
      </w:r>
      <w:bookmarkEnd w:id="68"/>
      <w:r w:rsidRPr="00AB297B">
        <w:rPr>
          <w:rFonts w:ascii="B Nazanin" w:hAnsi="B Nazanin" w:cs="B Nazanin"/>
          <w:color w:val="000000"/>
          <w:sz w:val="22"/>
          <w:szCs w:val="18"/>
        </w:rPr>
        <w:t xml:space="preserve">. </w:t>
      </w:r>
      <w:proofErr w:type="gramStart"/>
      <w:r w:rsidRPr="00AB297B">
        <w:rPr>
          <w:rFonts w:ascii="B Nazanin" w:hAnsi="B Nazanin" w:cs="B Nazanin"/>
          <w:color w:val="000000"/>
          <w:sz w:val="22"/>
          <w:szCs w:val="18"/>
        </w:rPr>
        <w:t>Orthogonal.</w:t>
      </w:r>
      <w:proofErr w:type="gramEnd"/>
    </w:p>
    <w:p w:rsidR="00AB297B" w:rsidRDefault="00AB297B" w:rsidP="00AB297B">
      <w:pPr>
        <w:jc w:val="lowKashida"/>
        <w:rPr>
          <w:rFonts w:ascii="B Nazanin" w:hAnsi="B Nazanin" w:cs="B Nazanin"/>
          <w:color w:val="000000"/>
          <w:sz w:val="22"/>
          <w:szCs w:val="18"/>
        </w:rPr>
      </w:pPr>
      <w:r w:rsidRPr="00AB297B">
        <w:rPr>
          <w:rFonts w:ascii="B Nazanin" w:hAnsi="B Nazanin" w:cs="B Nazanin"/>
          <w:color w:val="000000"/>
          <w:sz w:val="22"/>
          <w:szCs w:val="18"/>
          <w:rtl/>
        </w:rPr>
        <w:t>1. خط ممتد نشان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دهندة ضريب همبستگي بيش از 40/0 و خط منقطع نشان</w:t>
      </w:r>
      <w:r w:rsidRPr="00AB297B">
        <w:rPr>
          <w:rFonts w:ascii="B Nazanin" w:hAnsi="B Nazanin" w:cs="B Nazanin"/>
          <w:color w:val="000000"/>
          <w:sz w:val="22"/>
          <w:szCs w:val="18"/>
          <w:rtl/>
        </w:rPr>
        <w:softHyphen/>
        <w:t>دهندة ضريب همبستگي بيش از 35/0 است.</w:t>
      </w:r>
    </w:p>
    <w:p w:rsidR="00E21C08" w:rsidRPr="00AB297B" w:rsidRDefault="00E21C08" w:rsidP="00AB297B">
      <w:pPr>
        <w:rPr>
          <w:rFonts w:ascii="B Nazanin" w:hAnsi="B Nazanin" w:cs="B Nazanin"/>
          <w:sz w:val="22"/>
          <w:szCs w:val="22"/>
        </w:rPr>
      </w:pPr>
    </w:p>
    <w:sectPr w:rsidR="00E21C08" w:rsidRPr="00AB297B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5F"/>
    <w:multiLevelType w:val="multilevel"/>
    <w:tmpl w:val="697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59CD"/>
    <w:multiLevelType w:val="multilevel"/>
    <w:tmpl w:val="AD1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716"/>
    <w:multiLevelType w:val="multilevel"/>
    <w:tmpl w:val="8F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10B"/>
    <w:multiLevelType w:val="multilevel"/>
    <w:tmpl w:val="EA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0CDA"/>
    <w:multiLevelType w:val="multilevel"/>
    <w:tmpl w:val="899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70F2"/>
    <w:multiLevelType w:val="multilevel"/>
    <w:tmpl w:val="8C7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A3845"/>
    <w:multiLevelType w:val="multilevel"/>
    <w:tmpl w:val="F4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71740"/>
    <w:multiLevelType w:val="multilevel"/>
    <w:tmpl w:val="6E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B2E"/>
    <w:multiLevelType w:val="multilevel"/>
    <w:tmpl w:val="0762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663A"/>
    <w:multiLevelType w:val="multilevel"/>
    <w:tmpl w:val="0F5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74469"/>
    <w:multiLevelType w:val="multilevel"/>
    <w:tmpl w:val="72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32600"/>
    <w:multiLevelType w:val="multilevel"/>
    <w:tmpl w:val="33A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A3703"/>
    <w:multiLevelType w:val="multilevel"/>
    <w:tmpl w:val="58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773EE"/>
    <w:multiLevelType w:val="multilevel"/>
    <w:tmpl w:val="6E1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B1DC7"/>
    <w:multiLevelType w:val="multilevel"/>
    <w:tmpl w:val="48E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F615D"/>
    <w:multiLevelType w:val="multilevel"/>
    <w:tmpl w:val="FE0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00001"/>
    <w:multiLevelType w:val="multilevel"/>
    <w:tmpl w:val="C3B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76EBE"/>
    <w:multiLevelType w:val="multilevel"/>
    <w:tmpl w:val="6AA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B0B"/>
    <w:rsid w:val="0000276C"/>
    <w:rsid w:val="000073E2"/>
    <w:rsid w:val="00007BF1"/>
    <w:rsid w:val="0001047A"/>
    <w:rsid w:val="0001316C"/>
    <w:rsid w:val="000137F0"/>
    <w:rsid w:val="00030433"/>
    <w:rsid w:val="00032807"/>
    <w:rsid w:val="00041555"/>
    <w:rsid w:val="00066837"/>
    <w:rsid w:val="00084B3E"/>
    <w:rsid w:val="00090DA6"/>
    <w:rsid w:val="000A22AC"/>
    <w:rsid w:val="000B3858"/>
    <w:rsid w:val="000E1C26"/>
    <w:rsid w:val="000E67D4"/>
    <w:rsid w:val="000F6409"/>
    <w:rsid w:val="00116A8C"/>
    <w:rsid w:val="001252BA"/>
    <w:rsid w:val="001369EA"/>
    <w:rsid w:val="001409C1"/>
    <w:rsid w:val="001503D3"/>
    <w:rsid w:val="00150470"/>
    <w:rsid w:val="001618B9"/>
    <w:rsid w:val="001A6181"/>
    <w:rsid w:val="001B0869"/>
    <w:rsid w:val="001B3EEE"/>
    <w:rsid w:val="001B6510"/>
    <w:rsid w:val="001C29BC"/>
    <w:rsid w:val="001D03AE"/>
    <w:rsid w:val="001D2C81"/>
    <w:rsid w:val="001D3231"/>
    <w:rsid w:val="001E1A82"/>
    <w:rsid w:val="001F0264"/>
    <w:rsid w:val="00224060"/>
    <w:rsid w:val="002314B7"/>
    <w:rsid w:val="002469FC"/>
    <w:rsid w:val="0025329E"/>
    <w:rsid w:val="002674B4"/>
    <w:rsid w:val="00297C9B"/>
    <w:rsid w:val="002A10B1"/>
    <w:rsid w:val="002A3B1A"/>
    <w:rsid w:val="002A7A03"/>
    <w:rsid w:val="002B1406"/>
    <w:rsid w:val="002B219A"/>
    <w:rsid w:val="002C2EA0"/>
    <w:rsid w:val="002C74C3"/>
    <w:rsid w:val="002D4EE0"/>
    <w:rsid w:val="002D7A27"/>
    <w:rsid w:val="00330482"/>
    <w:rsid w:val="00331936"/>
    <w:rsid w:val="00335DA2"/>
    <w:rsid w:val="00347E6D"/>
    <w:rsid w:val="00357708"/>
    <w:rsid w:val="00357BA4"/>
    <w:rsid w:val="003967BF"/>
    <w:rsid w:val="003A4021"/>
    <w:rsid w:val="003A49A0"/>
    <w:rsid w:val="003B277B"/>
    <w:rsid w:val="003B5AD3"/>
    <w:rsid w:val="003E02DB"/>
    <w:rsid w:val="003E5D0A"/>
    <w:rsid w:val="003F0936"/>
    <w:rsid w:val="004130FC"/>
    <w:rsid w:val="00422EC5"/>
    <w:rsid w:val="00424650"/>
    <w:rsid w:val="00424D0A"/>
    <w:rsid w:val="004373BE"/>
    <w:rsid w:val="00452CD4"/>
    <w:rsid w:val="004C161B"/>
    <w:rsid w:val="004D4897"/>
    <w:rsid w:val="00515181"/>
    <w:rsid w:val="00517B67"/>
    <w:rsid w:val="00532794"/>
    <w:rsid w:val="00536510"/>
    <w:rsid w:val="00542643"/>
    <w:rsid w:val="005472E8"/>
    <w:rsid w:val="00550000"/>
    <w:rsid w:val="00553A9C"/>
    <w:rsid w:val="005767BA"/>
    <w:rsid w:val="005D0601"/>
    <w:rsid w:val="005E5162"/>
    <w:rsid w:val="005F14DF"/>
    <w:rsid w:val="0060789E"/>
    <w:rsid w:val="006104F9"/>
    <w:rsid w:val="006116B8"/>
    <w:rsid w:val="00623780"/>
    <w:rsid w:val="00626C9F"/>
    <w:rsid w:val="00642E73"/>
    <w:rsid w:val="00656947"/>
    <w:rsid w:val="00665C1A"/>
    <w:rsid w:val="00690FAC"/>
    <w:rsid w:val="00693E9F"/>
    <w:rsid w:val="006A01A1"/>
    <w:rsid w:val="006B5177"/>
    <w:rsid w:val="006B79BA"/>
    <w:rsid w:val="006C16A4"/>
    <w:rsid w:val="006C5BB0"/>
    <w:rsid w:val="006E6A65"/>
    <w:rsid w:val="0070384C"/>
    <w:rsid w:val="00704F80"/>
    <w:rsid w:val="00713FCA"/>
    <w:rsid w:val="00727755"/>
    <w:rsid w:val="007551C1"/>
    <w:rsid w:val="007650B1"/>
    <w:rsid w:val="007B7784"/>
    <w:rsid w:val="007D1017"/>
    <w:rsid w:val="007E358D"/>
    <w:rsid w:val="007E67FA"/>
    <w:rsid w:val="00803B0B"/>
    <w:rsid w:val="008251EF"/>
    <w:rsid w:val="008315A3"/>
    <w:rsid w:val="00831B4B"/>
    <w:rsid w:val="00834928"/>
    <w:rsid w:val="008540FB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434B7"/>
    <w:rsid w:val="00960D1E"/>
    <w:rsid w:val="00964588"/>
    <w:rsid w:val="0096513E"/>
    <w:rsid w:val="00970F02"/>
    <w:rsid w:val="00991110"/>
    <w:rsid w:val="00991A95"/>
    <w:rsid w:val="009A0FF7"/>
    <w:rsid w:val="009B0705"/>
    <w:rsid w:val="009B1301"/>
    <w:rsid w:val="009B6626"/>
    <w:rsid w:val="009B7407"/>
    <w:rsid w:val="009D1F07"/>
    <w:rsid w:val="009D3E07"/>
    <w:rsid w:val="009F758E"/>
    <w:rsid w:val="00A06848"/>
    <w:rsid w:val="00A25749"/>
    <w:rsid w:val="00A34A13"/>
    <w:rsid w:val="00A63BF0"/>
    <w:rsid w:val="00A80C88"/>
    <w:rsid w:val="00A909BE"/>
    <w:rsid w:val="00AB297B"/>
    <w:rsid w:val="00AC657A"/>
    <w:rsid w:val="00AD4F85"/>
    <w:rsid w:val="00AE0E6F"/>
    <w:rsid w:val="00AE1578"/>
    <w:rsid w:val="00AE2CE5"/>
    <w:rsid w:val="00AE6FB4"/>
    <w:rsid w:val="00AE78C4"/>
    <w:rsid w:val="00AF6D7A"/>
    <w:rsid w:val="00B06CBB"/>
    <w:rsid w:val="00B11B88"/>
    <w:rsid w:val="00B23C1D"/>
    <w:rsid w:val="00B770DC"/>
    <w:rsid w:val="00B94CA0"/>
    <w:rsid w:val="00BA3FE7"/>
    <w:rsid w:val="00BC6151"/>
    <w:rsid w:val="00BE5695"/>
    <w:rsid w:val="00BF5A04"/>
    <w:rsid w:val="00C00516"/>
    <w:rsid w:val="00C07533"/>
    <w:rsid w:val="00C22650"/>
    <w:rsid w:val="00C302F1"/>
    <w:rsid w:val="00C37806"/>
    <w:rsid w:val="00C42BC8"/>
    <w:rsid w:val="00C4376F"/>
    <w:rsid w:val="00C73766"/>
    <w:rsid w:val="00C8108D"/>
    <w:rsid w:val="00C94FDD"/>
    <w:rsid w:val="00CA087F"/>
    <w:rsid w:val="00CB4A03"/>
    <w:rsid w:val="00CC2F8E"/>
    <w:rsid w:val="00CD4DE6"/>
    <w:rsid w:val="00CE092F"/>
    <w:rsid w:val="00D00CCC"/>
    <w:rsid w:val="00D02E5C"/>
    <w:rsid w:val="00D10313"/>
    <w:rsid w:val="00D318FB"/>
    <w:rsid w:val="00D35377"/>
    <w:rsid w:val="00D51CB2"/>
    <w:rsid w:val="00D60C5D"/>
    <w:rsid w:val="00D70EA5"/>
    <w:rsid w:val="00D769C2"/>
    <w:rsid w:val="00D82A6C"/>
    <w:rsid w:val="00D844EF"/>
    <w:rsid w:val="00D940BE"/>
    <w:rsid w:val="00DC59B6"/>
    <w:rsid w:val="00E00B30"/>
    <w:rsid w:val="00E02CA3"/>
    <w:rsid w:val="00E21C08"/>
    <w:rsid w:val="00E3165F"/>
    <w:rsid w:val="00E3272B"/>
    <w:rsid w:val="00E338EB"/>
    <w:rsid w:val="00E47D3C"/>
    <w:rsid w:val="00E628B7"/>
    <w:rsid w:val="00E6314E"/>
    <w:rsid w:val="00E74E43"/>
    <w:rsid w:val="00EA1BA7"/>
    <w:rsid w:val="00EB40A6"/>
    <w:rsid w:val="00EC6641"/>
    <w:rsid w:val="00EC7190"/>
    <w:rsid w:val="00ED7423"/>
    <w:rsid w:val="00EE0BE4"/>
    <w:rsid w:val="00EF1EA5"/>
    <w:rsid w:val="00F01D18"/>
    <w:rsid w:val="00F0354F"/>
    <w:rsid w:val="00F33A10"/>
    <w:rsid w:val="00F34393"/>
    <w:rsid w:val="00F347A8"/>
    <w:rsid w:val="00F61E88"/>
    <w:rsid w:val="00F70800"/>
    <w:rsid w:val="00F85090"/>
    <w:rsid w:val="00F85A7F"/>
    <w:rsid w:val="00F91354"/>
    <w:rsid w:val="00F9157C"/>
    <w:rsid w:val="00FB1F5D"/>
    <w:rsid w:val="00FD2648"/>
    <w:rsid w:val="00FE00C3"/>
    <w:rsid w:val="00FE2669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/>
      <w:outlineLvl w:val="0"/>
    </w:pPr>
    <w:rPr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/>
      <w:outlineLvl w:val="1"/>
    </w:pPr>
    <w:rPr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/>
      <w:outlineLvl w:val="2"/>
    </w:pPr>
    <w:rPr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/>
      <w:outlineLvl w:val="3"/>
    </w:pPr>
    <w:rPr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/>
      <w:outlineLvl w:val="4"/>
    </w:pPr>
    <w:rPr>
      <w:b/>
      <w:bCs/>
      <w:color w:val="2D58A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unhideWhenUsed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spacing w:before="41" w:after="122"/>
      <w:ind w:left="41" w:right="41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/>
      <w:ind w:right="122"/>
      <w:jc w:val="right"/>
      <w:textAlignment w:val="bottom"/>
    </w:pPr>
    <w:rPr>
      <w:rFonts w:ascii="Tahoma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/>
    </w:pPr>
    <w:rPr>
      <w:rFonts w:ascii="Tahoma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/>
      <w:ind w:right="68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/>
      <w:ind w:left="109"/>
    </w:pPr>
    <w:rPr>
      <w:rFonts w:ascii="Tahoma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/>
      <w:ind w:left="41" w:right="41"/>
    </w:pPr>
    <w:rPr>
      <w:rFonts w:ascii="Tahoma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/>
      <w:ind w:left="937"/>
    </w:pPr>
    <w:rPr>
      <w:rFonts w:ascii="Tahoma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spacing w:before="100" w:beforeAutospacing="1" w:after="100" w:afterAutospacing="1"/>
      <w:jc w:val="both"/>
      <w:textAlignment w:val="top"/>
    </w:pPr>
    <w:rPr>
      <w:rFonts w:ascii="Tahoma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spacing w:before="100" w:beforeAutospacing="1" w:after="100" w:afterAutospacing="1"/>
      <w:jc w:val="both"/>
    </w:pPr>
    <w:rPr>
      <w:rFonts w:ascii="Tahoma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/>
    </w:pPr>
    <w:rPr>
      <w:rFonts w:ascii="Tahoma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/>
      <w:jc w:val="center"/>
    </w:pPr>
    <w:rPr>
      <w:rFonts w:ascii="Tahoma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/>
    </w:pPr>
    <w:rPr>
      <w:rFonts w:ascii="Tahoma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/>
      <w:ind w:left="68" w:right="68"/>
    </w:pPr>
    <w:rPr>
      <w:rFonts w:ascii="Tahoma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/>
      <w:jc w:val="center"/>
    </w:pPr>
    <w:rPr>
      <w:rFonts w:ascii="Tahoma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</w:pPr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</w:pPr>
    <w:rPr>
      <w:rFonts w:ascii="Tahoma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/>
    </w:pPr>
    <w:rPr>
      <w:rFonts w:ascii="Tahoma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/>
    </w:pPr>
    <w:rPr>
      <w:rFonts w:ascii="Tahoma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rPr>
      <w:rFonts w:ascii="Tahoma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  <w:style w:type="paragraph" w:customStyle="1" w:styleId="titles">
    <w:name w:val="titles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abstract">
    <w:name w:val="abstract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C1A"/>
    <w:rPr>
      <w:rFonts w:ascii="Courier New" w:eastAsia="Times New Roman" w:hAnsi="Courier New" w:cs="Courier New"/>
      <w:sz w:val="20"/>
      <w:szCs w:val="20"/>
    </w:rPr>
  </w:style>
  <w:style w:type="paragraph" w:customStyle="1" w:styleId="heads">
    <w:name w:val="heads"/>
    <w:basedOn w:val="Normal"/>
    <w:rsid w:val="00090DA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90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27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69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5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7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7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19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07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4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3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1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7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89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772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3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6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9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0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5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8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2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7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6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609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9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9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3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9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8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0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9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5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9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1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4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2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7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4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5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3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7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9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5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93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9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7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12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84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9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16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75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64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8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6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03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7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1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6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33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9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47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9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07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7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0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19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0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6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2334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15254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92064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2270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373253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77844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6496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997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54999">
                                          <w:marLeft w:val="5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625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8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5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222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94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5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5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8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1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auto"/>
          </w:divBdr>
        </w:div>
        <w:div w:id="18230829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9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8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9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9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9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5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3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9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47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718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6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93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62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35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6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4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0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4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0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2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6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9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4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6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9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431">
          <w:marLeft w:val="0"/>
          <w:marRight w:val="0"/>
          <w:marTop w:val="1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20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6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2">
          <w:marLeft w:val="-1134"/>
          <w:marRight w:val="-1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5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5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9416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91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1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3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6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14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1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81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09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146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287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97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8879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894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53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721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70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961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597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5149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166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435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75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32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425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867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564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69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412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282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76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603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29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724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397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331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6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660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72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829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695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571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430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316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63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767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661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37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45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62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635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058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377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73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56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65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9650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567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6272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181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94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088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6074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30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178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2829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74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858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8428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7396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3926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549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273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51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3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2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68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6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9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20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2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5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29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8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7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5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14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2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9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0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4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9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7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6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4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9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2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3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3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9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2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1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8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2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2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0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4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318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659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2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7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1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3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0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8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5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1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8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1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1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9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0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4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2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3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5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7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9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50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2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142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2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1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4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7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8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8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2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6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863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092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8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2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18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8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472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367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7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34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76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4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7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50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29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59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4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webworld/memory/legalde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rmationr.net/ir/9-2/paper1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andoc.ac.ir/etela-art/14/14-3&amp;4-10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7640</Words>
  <Characters>43552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2012-01-06T21:30:00Z</dcterms:created>
  <dcterms:modified xsi:type="dcterms:W3CDTF">2012-01-06T21:30:00Z</dcterms:modified>
</cp:coreProperties>
</file>