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D8" w:rsidRPr="008A76D8" w:rsidRDefault="008A76D8" w:rsidP="008A76D8">
      <w:pPr>
        <w:bidi/>
        <w:jc w:val="both"/>
        <w:rPr>
          <w:rFonts w:ascii="Arial" w:hAnsi="Arial" w:cs="Arial"/>
          <w:sz w:val="28"/>
          <w:szCs w:val="28"/>
        </w:rPr>
      </w:pPr>
      <w:r w:rsidRPr="008A76D8">
        <w:rPr>
          <w:rFonts w:ascii="Arial" w:hAnsi="Arial" w:cs="Arial"/>
          <w:sz w:val="28"/>
          <w:szCs w:val="28"/>
          <w:rtl/>
        </w:rPr>
        <w:t>معرفی اسلام شناسان غربی: ویلیام مونتگمری وات</w:t>
      </w:r>
    </w:p>
    <w:p w:rsidR="008A76D8" w:rsidRPr="008A76D8" w:rsidRDefault="008A76D8" w:rsidP="008A76D8">
      <w:pPr>
        <w:bidi/>
        <w:jc w:val="both"/>
        <w:rPr>
          <w:rFonts w:ascii="Arial" w:hAnsi="Arial" w:cs="Arial"/>
          <w:sz w:val="28"/>
          <w:szCs w:val="28"/>
        </w:rPr>
      </w:pPr>
      <w:r w:rsidRPr="008A76D8">
        <w:rPr>
          <w:rFonts w:ascii="Arial" w:hAnsi="Arial" w:cs="Arial"/>
          <w:sz w:val="28"/>
          <w:szCs w:val="28"/>
        </w:rPr>
        <w:t xml:space="preserve"> WILLIAM MONTGOMERY WATT </w:t>
      </w:r>
      <w:r w:rsidRPr="008A76D8">
        <w:rPr>
          <w:rFonts w:ascii="Arial" w:hAnsi="Arial" w:cs="Arial"/>
          <w:sz w:val="28"/>
          <w:szCs w:val="28"/>
          <w:rtl/>
        </w:rPr>
        <w:t xml:space="preserve">- مترجم: مهدی شوشتری </w:t>
      </w:r>
    </w:p>
    <w:p w:rsidR="008A76D8" w:rsidRPr="008A76D8" w:rsidRDefault="008A76D8" w:rsidP="008A76D8">
      <w:pPr>
        <w:bidi/>
        <w:jc w:val="both"/>
        <w:rPr>
          <w:rFonts w:ascii="Arial" w:hAnsi="Arial" w:cs="Arial"/>
          <w:sz w:val="28"/>
          <w:szCs w:val="28"/>
        </w:rPr>
      </w:pP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هدف از این بخش، معرفی صاحبنظرانی است که در حال حاضر، در غرب در زمینه مسائل اسلام معاصر قلمفرسایی می نمایند. (1</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ویلیام مونتگمری وات اسلام شناس معاصر و استاد بازنشسته مطالعات عربی و اسلامی دانشگاه ادینبورگ، در سال 1909 میلادی در اسکاتلند متولد شد و تحصیلات خود را تا دوره دکترای فلسفه پی گرفت و رساله دکترایش را درباره «جبر و اختیار در آغاز اسلام » گذرانید. وی مدت چهار سال به تدریس فلسفه در دانشگاه اشتغال داشت. وی سپس به مطالعات بیشتری درباره اسلام گرایید و به عنوان یکی از دستیاران اسقف آنگلیکن (وابسته به کلیسای پروتستان انگلیس) در بیت المقدس به پژوهش پرداخت. مونتگمری وات در سال 1947 به سمت «رئیس بخش مطالعات عربی و اسلامی » در دانشگاه ادینبورگ برگزیده شد و سالها این سمت را حفظ کرد و در اوایل دهه 1980 به بازنشستگی نایل آمد</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آثار</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از مونتگمری وات آثار متعددی بر محور «اسلام شناسی » باقی مانده است که می توان به موارد زیر اشاره نمود</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1. [</w:t>
      </w:r>
      <w:r w:rsidRPr="008A76D8">
        <w:rPr>
          <w:rFonts w:ascii="Arial" w:hAnsi="Arial" w:cs="Arial"/>
          <w:sz w:val="24"/>
          <w:szCs w:val="24"/>
          <w:rtl/>
        </w:rPr>
        <w:t>حضرت] محمد (ص) در مکه (1953</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[Muhammad at Mecca]</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2. [</w:t>
      </w:r>
      <w:r w:rsidRPr="008A76D8">
        <w:rPr>
          <w:rFonts w:ascii="Arial" w:hAnsi="Arial" w:cs="Arial"/>
          <w:sz w:val="24"/>
          <w:szCs w:val="24"/>
          <w:rtl/>
        </w:rPr>
        <w:t>حضرت] محمد (ص) در مدینه (1956</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[Muhammad at Medina]</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3. </w:t>
      </w:r>
      <w:r w:rsidRPr="008A76D8">
        <w:rPr>
          <w:rFonts w:ascii="Arial" w:hAnsi="Arial" w:cs="Arial"/>
          <w:sz w:val="24"/>
          <w:szCs w:val="24"/>
          <w:rtl/>
        </w:rPr>
        <w:t>ایمان و عمل غزالی (1953</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[The Faith andPractice of al - Ghazali]</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4. [</w:t>
      </w:r>
      <w:r w:rsidRPr="008A76D8">
        <w:rPr>
          <w:rFonts w:ascii="Arial" w:hAnsi="Arial" w:cs="Arial"/>
          <w:sz w:val="24"/>
          <w:szCs w:val="24"/>
          <w:rtl/>
        </w:rPr>
        <w:t>حضرت] محمد، پیامبر و سیاستمدار (1964</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[Muhammad: Prophet and Statesman]</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5. </w:t>
      </w:r>
      <w:r w:rsidRPr="008A76D8">
        <w:rPr>
          <w:rFonts w:ascii="Arial" w:hAnsi="Arial" w:cs="Arial"/>
          <w:sz w:val="24"/>
          <w:szCs w:val="24"/>
          <w:rtl/>
        </w:rPr>
        <w:t>تاریخ اسپانیای اسلامی (1965</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[History at Islamic Spain]</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6. </w:t>
      </w:r>
      <w:r w:rsidRPr="008A76D8">
        <w:rPr>
          <w:rFonts w:ascii="Arial" w:hAnsi="Arial" w:cs="Arial"/>
          <w:sz w:val="24"/>
          <w:szCs w:val="24"/>
          <w:rtl/>
        </w:rPr>
        <w:t>اندیشه سیاسی اسلام (1968</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[Islamic Political Thought]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7. </w:t>
      </w:r>
      <w:r w:rsidRPr="008A76D8">
        <w:rPr>
          <w:rFonts w:ascii="Arial" w:hAnsi="Arial" w:cs="Arial"/>
          <w:sz w:val="24"/>
          <w:szCs w:val="24"/>
          <w:rtl/>
        </w:rPr>
        <w:t>تاثیر اسلام بر اروپا در قرون وسطی (1972</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[Influence of Islam on Medival Europe]</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lastRenderedPageBreak/>
        <w:t xml:space="preserve">8. </w:t>
      </w:r>
      <w:r w:rsidRPr="008A76D8">
        <w:rPr>
          <w:rFonts w:ascii="Arial" w:hAnsi="Arial" w:cs="Arial"/>
          <w:sz w:val="24"/>
          <w:szCs w:val="24"/>
          <w:rtl/>
        </w:rPr>
        <w:t>دوره شکل گیری اندیشه اسلامی (1973</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[The Formative Period of Islamic Thought]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9. </w:t>
      </w:r>
      <w:r w:rsidRPr="008A76D8">
        <w:rPr>
          <w:rFonts w:ascii="Arial" w:hAnsi="Arial" w:cs="Arial"/>
          <w:sz w:val="24"/>
          <w:szCs w:val="24"/>
          <w:rtl/>
        </w:rPr>
        <w:t>اسلام و مسیحیت امروزی (1984</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[Islam and Christianity Today]</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10. </w:t>
      </w:r>
      <w:r w:rsidRPr="008A76D8">
        <w:rPr>
          <w:rFonts w:ascii="Arial" w:hAnsi="Arial" w:cs="Arial"/>
          <w:sz w:val="24"/>
          <w:szCs w:val="24"/>
          <w:rtl/>
        </w:rPr>
        <w:t>فلسفه و الهیات اسلامی (1987</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[Islamic Philosophy andTheology]</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11. </w:t>
      </w:r>
      <w:r w:rsidRPr="008A76D8">
        <w:rPr>
          <w:rFonts w:ascii="Arial" w:hAnsi="Arial" w:cs="Arial"/>
          <w:sz w:val="24"/>
          <w:szCs w:val="24"/>
          <w:rtl/>
        </w:rPr>
        <w:t>مکه [حضرت] محمد: تاریخ از قرآن (1988</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[Muhammad|s </w:t>
      </w:r>
      <w:proofErr w:type="gramStart"/>
      <w:r w:rsidRPr="008A76D8">
        <w:rPr>
          <w:rFonts w:ascii="Arial" w:hAnsi="Arial" w:cs="Arial"/>
          <w:sz w:val="24"/>
          <w:szCs w:val="24"/>
        </w:rPr>
        <w:t>Mecca :</w:t>
      </w:r>
      <w:proofErr w:type="gramEnd"/>
      <w:r w:rsidRPr="008A76D8">
        <w:rPr>
          <w:rFonts w:ascii="Arial" w:hAnsi="Arial" w:cs="Arial"/>
          <w:sz w:val="24"/>
          <w:szCs w:val="24"/>
        </w:rPr>
        <w:t xml:space="preserve"> History from the Qur|an]</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12. </w:t>
      </w:r>
      <w:r w:rsidRPr="008A76D8">
        <w:rPr>
          <w:rFonts w:ascii="Arial" w:hAnsi="Arial" w:cs="Arial"/>
          <w:sz w:val="24"/>
          <w:szCs w:val="24"/>
          <w:rtl/>
        </w:rPr>
        <w:t>بنیادگرایی اسلام و نوگرایی (1988</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[Islamic Fundamentalism and Modernity]</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13. </w:t>
      </w:r>
      <w:r w:rsidRPr="008A76D8">
        <w:rPr>
          <w:rFonts w:ascii="Arial" w:hAnsi="Arial" w:cs="Arial"/>
          <w:sz w:val="24"/>
          <w:szCs w:val="24"/>
          <w:rtl/>
        </w:rPr>
        <w:t>اسلام نخستین (1991</w:t>
      </w:r>
      <w:proofErr w:type="gramStart"/>
      <w:r w:rsidRPr="008A76D8">
        <w:rPr>
          <w:rFonts w:ascii="Arial" w:hAnsi="Arial" w:cs="Arial"/>
          <w:sz w:val="24"/>
          <w:szCs w:val="24"/>
        </w:rPr>
        <w:t>)</w:t>
      </w:r>
      <w:r w:rsidRPr="008A76D8">
        <w:rPr>
          <w:rFonts w:ascii="Arial" w:hAnsi="Arial" w:cs="Arial"/>
          <w:sz w:val="24"/>
          <w:szCs w:val="24"/>
          <w:rtl/>
        </w:rPr>
        <w:t>،</w:t>
      </w:r>
      <w:proofErr w:type="gramEnd"/>
      <w:r w:rsidRPr="008A76D8">
        <w:rPr>
          <w:rFonts w:ascii="Arial" w:hAnsi="Arial" w:cs="Arial"/>
          <w:sz w:val="24"/>
          <w:szCs w:val="24"/>
          <w:rtl/>
        </w:rPr>
        <w:t xml:space="preserve"> </w:t>
      </w:r>
      <w:r w:rsidRPr="008A76D8">
        <w:rPr>
          <w:rFonts w:ascii="Arial" w:hAnsi="Arial" w:cs="Arial"/>
          <w:sz w:val="24"/>
          <w:szCs w:val="24"/>
        </w:rPr>
        <w:t>[Early Islam]</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14. </w:t>
      </w:r>
      <w:r w:rsidRPr="008A76D8">
        <w:rPr>
          <w:rFonts w:ascii="Arial" w:hAnsi="Arial" w:cs="Arial"/>
          <w:sz w:val="24"/>
          <w:szCs w:val="24"/>
          <w:rtl/>
        </w:rPr>
        <w:t>برخورد اسلام و مسیحیت (1991</w:t>
      </w:r>
      <w:proofErr w:type="gramStart"/>
      <w:r w:rsidRPr="008A76D8">
        <w:rPr>
          <w:rFonts w:ascii="Arial" w:hAnsi="Arial" w:cs="Arial"/>
          <w:sz w:val="24"/>
          <w:szCs w:val="24"/>
          <w:rtl/>
        </w:rPr>
        <w:t>)(</w:t>
      </w:r>
      <w:proofErr w:type="gramEnd"/>
      <w:r w:rsidRPr="008A76D8">
        <w:rPr>
          <w:rFonts w:ascii="Arial" w:hAnsi="Arial" w:cs="Arial"/>
          <w:sz w:val="24"/>
          <w:szCs w:val="24"/>
          <w:rtl/>
        </w:rPr>
        <w:t>این کتاب در سال 1373 توسط آقای محمدحسین مخبر ترجمه و از سوی دفتر نشر فرهنگ اسلامی به چاپ رسیده است</w:t>
      </w:r>
      <w:r w:rsidRPr="008A76D8">
        <w:rPr>
          <w:rFonts w:ascii="Arial" w:hAnsi="Arial" w:cs="Arial"/>
          <w:sz w:val="24"/>
          <w:szCs w:val="24"/>
        </w:rPr>
        <w:t>.) [Muslim - Christian Encounter]</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15. «</w:t>
      </w:r>
      <w:r w:rsidRPr="008A76D8">
        <w:rPr>
          <w:rFonts w:ascii="Arial" w:hAnsi="Arial" w:cs="Arial"/>
          <w:sz w:val="24"/>
          <w:szCs w:val="24"/>
          <w:rtl/>
        </w:rPr>
        <w:t>نامش احمد است،» دنیای مسلمان، شماره 63، 1953</w:t>
      </w:r>
      <w:r w:rsidRPr="008A76D8">
        <w:rPr>
          <w:rFonts w:ascii="Arial" w:hAnsi="Arial" w:cs="Arial"/>
          <w:sz w:val="24"/>
          <w:szCs w:val="24"/>
        </w:rPr>
        <w:t>. Muslim World</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16. «</w:t>
      </w:r>
      <w:r w:rsidRPr="008A76D8">
        <w:rPr>
          <w:rFonts w:ascii="Arial" w:hAnsi="Arial" w:cs="Arial"/>
          <w:sz w:val="24"/>
          <w:szCs w:val="24"/>
          <w:rtl/>
        </w:rPr>
        <w:t>مفاهیم اسلامی جنگ مقدس،» در کتاب جنگ مقدس، ویراستار توماس پاتریک مورفی، 1976</w:t>
      </w:r>
      <w:r w:rsidRPr="008A76D8">
        <w:rPr>
          <w:rFonts w:ascii="Arial" w:hAnsi="Arial" w:cs="Arial"/>
          <w:sz w:val="24"/>
          <w:szCs w:val="24"/>
        </w:rPr>
        <w:t xml:space="preserve">. ["Islamic Conceptions of the Holy War" in TheHoly War, edited by Thomas Patric </w:t>
      </w:r>
      <w:proofErr w:type="gramStart"/>
      <w:r w:rsidRPr="008A76D8">
        <w:rPr>
          <w:rFonts w:ascii="Arial" w:hAnsi="Arial" w:cs="Arial"/>
          <w:sz w:val="24"/>
          <w:szCs w:val="24"/>
        </w:rPr>
        <w:t>Murphy ,</w:t>
      </w:r>
      <w:proofErr w:type="gramEnd"/>
      <w:r w:rsidRPr="008A76D8">
        <w:rPr>
          <w:rFonts w:ascii="Arial" w:hAnsi="Arial" w:cs="Arial"/>
          <w:sz w:val="24"/>
          <w:szCs w:val="24"/>
        </w:rPr>
        <w:t xml:space="preserve"> 1976]</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نظرات</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به اعتقاد مونتگمری وات، اسلام دینی است توحیدی که بر پایه وحی الهی به پیامبر واحد استوار است و به نظر می رسد که قرآن نیز می پذیرد دیگر ادیان [خصوصا یهودیت و مسیحیت] هم بر پایه وحی الهی و بر پیامبر واحد بودند. (2</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به عقیده وات، هر چند قرآن به صراحت از ادیان یهودی و مسیحی سخن می گوید و پیامبرانشان را پیامبران الهی می خواند، در میان مسلمانان سنتی، این عقیده وجود دارد که کتب مقدس (تورات و انجیل) تحریف شده اند و این عقیده بدون شک به این نقطه نظر کمک کرده است که غرب از نظر اخلاقی فاسد می باشد و اینکه تنها اسلام دین حقیقی است و هیچ دین و مذهبی، خارج از اسلام، راستین نمی باشد. (3</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مونتگمری وات معتقد است بازگشت به اسلام از ویژگیهای مهم دو دهه اخیر است. این احیا دارای خصلت بنیادگرایی و یا سنت گرایی است. بنیادگرایی اسلامی با سنت گرایی مسیحیت که اساسا پدیده ای پروتستانی است، شباهت ندارد; «انتگریسم</w:t>
      </w:r>
      <w:r w:rsidRPr="008A76D8">
        <w:rPr>
          <w:rFonts w:ascii="Arial" w:hAnsi="Arial" w:cs="Arial"/>
          <w:sz w:val="24"/>
          <w:szCs w:val="24"/>
        </w:rPr>
        <w:t xml:space="preserve"> »Integrism (</w:t>
      </w:r>
      <w:r w:rsidRPr="008A76D8">
        <w:rPr>
          <w:rFonts w:ascii="Arial" w:hAnsi="Arial" w:cs="Arial"/>
          <w:sz w:val="24"/>
          <w:szCs w:val="24"/>
          <w:rtl/>
        </w:rPr>
        <w:t>نوعی اصطلاح خاص کاتولیکها است که هرگونه تحول و تکامل را رد می کند، نیز می تواند نظریه کسانی به شمار آید که دولت را به اطاعت از مذهب فرا می خوانند.) یا تمامیت طلبی نزدیکترین اصطلاح زبان فرانسه و کاتولیک رومی به احیای اسلامی است، اما مفهوم آنها باز هم اندکی با هم متفاوت است</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lastRenderedPageBreak/>
        <w:t>به نظر می رسد یکی از عوامل مهم و نهفته در شالوده احیای اسلامی، رواج این احساس در میان مسلمانان عادی بوده که فکر می کردند هویت اسلامیشان به مخاطره افتاده [است]. جهت یا بعد مذهبی هم در این احیا سهمی ایفا کرده [است]. احتمالا بسیاری از مسلمانان عادی از تفصیلات انتقاد دینی مسیحیان بر اسلام آگاهی نداشتند، اما بسیاری از آنان می دانستند که مسیحیان غربی اکثر عقاید اسلامی را رد می کنند و اسلام را یک دین راستین نمی شمارند و می پندارند از مسیحیت عقبتر است. گذشته از انتقاد مسیحیان نسبت به اسلام، می دانیم بعد از «عصر روشنگری »، رگه های ضد مذهبی در تفکر اروپایی پیدا شد و اسلام را قرون وسطایی، کهنه و فاقد ارزش تلقی کرد. (4</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به اعتقاد وات، یکی از جنبه های احیای اسلامی، طرد رسوم معین و پذیرفته شده از غرب است - نه ربا، نه مشروب و نه لباس غربی برای زنان. به هر حال، نباید چنین مواردی را اساسا ضد غربی یا ضد مسیحی تلقی کرد، بلکه باید آن را هواخواهی از مسلمانان دانست. مسلمین در احیای اسلامی، احتمالا از ضمیر ناخودآگاه، اصرار دارند با آنان، از نظر انسانی و مذهبی، چنان رفتار شود که با غربیان و مسیحیان رفتار می شود. وصول به این خواسته، دشوار است; زیرا مسیحیان فکر می کنند مذهبشان از مذاهب دیگر برتر است. (البته مسلمانان نیز به برتری مذهب خود اعتقاد دارند.) (5</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وی معتقد است، اگر مسلمانان خواهان آنند که نقش فعالی در آینده جهان ایفا کنند - که البته آنها قادر به این کار هستند - باید دیدگاه جدیدی نسبت به دیگر ادیان اتخاذ نمایند. این دیدگاه درخصوص دیگر ادیان، باید همچنین به دیگر جنبه های فرهنگ بشری که مرتبط با دین است نیز گسترش یابد. (6</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به نظر وات، به رغم قوت بنیادگرایی در چارچوبه احیای اسلامی، در میان برخی از گروههای مسلمان، علائمی از حرکت به سوی گفت و شنود با سایر ادیان و بالاخص با مسیحیت دیده می شود. بنیادگرایان نمی توانند بدون به خطر افکندن اعتقادشان به برتری و خاتمیت اسلام، در این تبادل نظر شرکت کنند و آنان مایل نیستند این خطر را بپذیرند. در میان «لیبرالها» غالبا برای تبادل نظر، سعه صدر مشاهده می شود; ولی بسیاری از آنان اساسا به تجدید تفکر در جنبه های خود - تصویری سنتی از اسلام - علاقه مند هستند (و فقط آن را صحیح می دانند) و فرصت چندانی برای تامل در باب مناسبات مسلمانان و مسیحیان اختصاص نمی دهند. (7</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به اعتقاد وی، شاید برخی از مسیحیان احساس کنند، شرکت در گفت و گو به معنای سرپیچی از حکم مسیح است که گفته جمیع خلایق را به انجیل موعظه کنید. ای بسا بعضی از مسلمانان نیز چنین احساسی داشته باشند که مبنای درستی ندارد. در تبادل نظر، هر طرف، مذهب دیگری را تصدیق می کند و شرکت در گفت و گو، در واقع اعلام این تصدیق است. (8</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tl/>
        </w:rPr>
        <w:t>پی نوشت ها</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1. «</w:t>
      </w:r>
      <w:r w:rsidRPr="008A76D8">
        <w:rPr>
          <w:rFonts w:ascii="Arial" w:hAnsi="Arial" w:cs="Arial"/>
          <w:sz w:val="24"/>
          <w:szCs w:val="24"/>
          <w:rtl/>
        </w:rPr>
        <w:t>اسلام شناسی و اسلام شناسان در جهان »، ویژه نامه مرکز اطلاع رسانی سازمان فرهنگ و ارتباطات اسلامی، تیر 1377</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2. William Montgomery Watt, Islamic Fundamentalism andModernity, London and New York: Routledge, 1988, p. 117.</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3. Ibid, p. 118.</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4. </w:t>
      </w:r>
      <w:r w:rsidRPr="008A76D8">
        <w:rPr>
          <w:rFonts w:ascii="Arial" w:hAnsi="Arial" w:cs="Arial"/>
          <w:sz w:val="24"/>
          <w:szCs w:val="24"/>
          <w:rtl/>
        </w:rPr>
        <w:t>ویلیام مونتگمری وات، برخورد آرای مسلمانان و مسیحیان، تفاهمات و سوء تفاهمات، ترجمه محمدحسین آریا، تهران: دفتر نشر فرهنگ اسلامی، 1373، صص 201-200</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 xml:space="preserve">5. </w:t>
      </w:r>
      <w:r w:rsidRPr="008A76D8">
        <w:rPr>
          <w:rFonts w:ascii="Arial" w:hAnsi="Arial" w:cs="Arial"/>
          <w:sz w:val="24"/>
          <w:szCs w:val="24"/>
          <w:rtl/>
        </w:rPr>
        <w:t>همان، ص 208</w:t>
      </w:r>
      <w:r w:rsidRPr="008A76D8">
        <w:rPr>
          <w:rFonts w:ascii="Arial" w:hAnsi="Arial" w:cs="Arial"/>
          <w:sz w:val="24"/>
          <w:szCs w:val="24"/>
        </w:rPr>
        <w:t>.</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t>6. William Montgomary Watt, op. cit, p. 122.</w:t>
      </w:r>
    </w:p>
    <w:p w:rsidR="008A76D8" w:rsidRPr="008A76D8" w:rsidRDefault="008A76D8" w:rsidP="008A76D8">
      <w:pPr>
        <w:bidi/>
        <w:jc w:val="both"/>
        <w:rPr>
          <w:rFonts w:ascii="Arial" w:hAnsi="Arial" w:cs="Arial"/>
          <w:sz w:val="24"/>
          <w:szCs w:val="24"/>
        </w:rPr>
      </w:pPr>
      <w:r w:rsidRPr="008A76D8">
        <w:rPr>
          <w:rFonts w:ascii="Arial" w:hAnsi="Arial" w:cs="Arial"/>
          <w:sz w:val="24"/>
          <w:szCs w:val="24"/>
        </w:rPr>
        <w:lastRenderedPageBreak/>
        <w:t xml:space="preserve">7. </w:t>
      </w:r>
      <w:r w:rsidRPr="008A76D8">
        <w:rPr>
          <w:rFonts w:ascii="Arial" w:hAnsi="Arial" w:cs="Arial"/>
          <w:sz w:val="24"/>
          <w:szCs w:val="24"/>
          <w:rtl/>
        </w:rPr>
        <w:t>ویلیام مونتگمری وات، منبع پیشین، ص 210</w:t>
      </w:r>
      <w:r w:rsidRPr="008A76D8">
        <w:rPr>
          <w:rFonts w:ascii="Arial" w:hAnsi="Arial" w:cs="Arial"/>
          <w:sz w:val="24"/>
          <w:szCs w:val="24"/>
        </w:rPr>
        <w:t>.</w:t>
      </w:r>
    </w:p>
    <w:p w:rsidR="008E1E3E" w:rsidRPr="008A76D8" w:rsidRDefault="008A76D8" w:rsidP="008A76D8">
      <w:pPr>
        <w:bidi/>
        <w:jc w:val="both"/>
        <w:rPr>
          <w:rFonts w:ascii="Arial" w:hAnsi="Arial" w:cs="Arial"/>
          <w:sz w:val="24"/>
          <w:szCs w:val="24"/>
        </w:rPr>
      </w:pPr>
      <w:r w:rsidRPr="008A76D8">
        <w:rPr>
          <w:rFonts w:ascii="Arial" w:hAnsi="Arial" w:cs="Arial"/>
          <w:sz w:val="24"/>
          <w:szCs w:val="24"/>
        </w:rPr>
        <w:t xml:space="preserve">8. </w:t>
      </w:r>
      <w:r w:rsidRPr="008A76D8">
        <w:rPr>
          <w:rFonts w:ascii="Arial" w:hAnsi="Arial" w:cs="Arial"/>
          <w:sz w:val="24"/>
          <w:szCs w:val="24"/>
          <w:rtl/>
        </w:rPr>
        <w:t>همان، ص 243</w:t>
      </w:r>
      <w:r w:rsidRPr="008A76D8">
        <w:rPr>
          <w:rFonts w:ascii="Arial" w:hAnsi="Arial" w:cs="Arial"/>
          <w:sz w:val="24"/>
          <w:szCs w:val="24"/>
        </w:rPr>
        <w:t>.</w:t>
      </w:r>
    </w:p>
    <w:sectPr w:rsidR="008E1E3E" w:rsidRPr="008A76D8"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B7B75"/>
    <w:rsid w:val="00091C38"/>
    <w:rsid w:val="00287A63"/>
    <w:rsid w:val="002905A9"/>
    <w:rsid w:val="002F220A"/>
    <w:rsid w:val="00315097"/>
    <w:rsid w:val="00364D94"/>
    <w:rsid w:val="003860D5"/>
    <w:rsid w:val="003A68FE"/>
    <w:rsid w:val="003E5BEC"/>
    <w:rsid w:val="004515E6"/>
    <w:rsid w:val="00490FE5"/>
    <w:rsid w:val="004941BB"/>
    <w:rsid w:val="00563B9E"/>
    <w:rsid w:val="0063482E"/>
    <w:rsid w:val="006B7B75"/>
    <w:rsid w:val="0088798C"/>
    <w:rsid w:val="008A76D8"/>
    <w:rsid w:val="008C37F2"/>
    <w:rsid w:val="008E1E3E"/>
    <w:rsid w:val="00927A16"/>
    <w:rsid w:val="009A7CF0"/>
    <w:rsid w:val="00A446B4"/>
    <w:rsid w:val="00AF7BA1"/>
    <w:rsid w:val="00BF03ED"/>
    <w:rsid w:val="00EF1B04"/>
    <w:rsid w:val="00F032C7"/>
    <w:rsid w:val="00FE10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6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2012-01-15T18:24:00Z</dcterms:created>
  <dcterms:modified xsi:type="dcterms:W3CDTF">2012-01-15T18:24:00Z</dcterms:modified>
</cp:coreProperties>
</file>