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B3E" w:rsidRDefault="00FC0576" w:rsidP="00CF4B3E">
      <w:pPr>
        <w:jc w:val="lowKashida"/>
        <w:rPr>
          <w:rFonts w:ascii="Arial" w:hAnsi="Arial" w:cs="Arial" w:hint="cs"/>
          <w:sz w:val="24"/>
          <w:rtl/>
        </w:rPr>
      </w:pPr>
      <w:r w:rsidRPr="00FC0576">
        <w:rPr>
          <w:rFonts w:ascii="Arial" w:hAnsi="Arial" w:cs="Arial" w:hint="cs"/>
          <w:sz w:val="24"/>
          <w:rtl/>
        </w:rPr>
        <w:t>توجه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جامعه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اروپایی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به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گروه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های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بیمه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ای</w:t>
      </w:r>
      <w:r w:rsidRPr="00FC0576">
        <w:rPr>
          <w:rFonts w:ascii="Arial" w:hAnsi="Arial" w:cs="Arial"/>
          <w:sz w:val="24"/>
          <w:rtl/>
        </w:rPr>
        <w:t xml:space="preserve"> </w:t>
      </w:r>
    </w:p>
    <w:p w:rsidR="00FC0576" w:rsidRPr="00FC0576" w:rsidRDefault="00FC0576" w:rsidP="00CF4B3E">
      <w:pPr>
        <w:jc w:val="lowKashida"/>
        <w:rPr>
          <w:rFonts w:ascii="Arial" w:hAnsi="Arial" w:cs="Arial"/>
          <w:sz w:val="24"/>
          <w:rtl/>
        </w:rPr>
      </w:pPr>
      <w:r w:rsidRPr="00FC0576">
        <w:rPr>
          <w:rFonts w:ascii="Arial" w:hAnsi="Arial" w:cs="Arial" w:hint="cs"/>
          <w:sz w:val="24"/>
          <w:rtl/>
        </w:rPr>
        <w:t>طاهرپور،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فریبا</w:t>
      </w:r>
    </w:p>
    <w:p w:rsidR="00FC0576" w:rsidRDefault="00FC0576" w:rsidP="00FC0576">
      <w:pPr>
        <w:jc w:val="lowKashida"/>
        <w:rPr>
          <w:rFonts w:ascii="Arial" w:hAnsi="Arial" w:cs="Arial"/>
          <w:sz w:val="24"/>
          <w:rtl/>
        </w:rPr>
      </w:pPr>
    </w:p>
    <w:p w:rsidR="00FC0576" w:rsidRDefault="00FC0576" w:rsidP="00FC0576">
      <w:pPr>
        <w:jc w:val="lowKashida"/>
        <w:rPr>
          <w:rFonts w:ascii="Arial" w:hAnsi="Arial" w:cs="Arial"/>
          <w:sz w:val="24"/>
          <w:rtl/>
        </w:rPr>
      </w:pPr>
      <w:r w:rsidRPr="00FC0576">
        <w:rPr>
          <w:rFonts w:ascii="Arial" w:hAnsi="Arial" w:cs="Arial" w:hint="cs"/>
          <w:sz w:val="24"/>
          <w:rtl/>
        </w:rPr>
        <w:t>مسوولان،حسابرسان،سرپرستان،و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نمایندگان‏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قانونی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آن‏ها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در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قبال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محیط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زیست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ایجاد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می‏کرد</w:t>
      </w:r>
      <w:r w:rsidRPr="00FC0576">
        <w:rPr>
          <w:rFonts w:ascii="Arial" w:hAnsi="Arial" w:cs="Arial"/>
          <w:sz w:val="24"/>
          <w:rtl/>
        </w:rPr>
        <w:t>.</w:t>
      </w:r>
    </w:p>
    <w:p w:rsidR="00FC0576" w:rsidRPr="00FC0576" w:rsidRDefault="00FC0576" w:rsidP="00FC0576">
      <w:pPr>
        <w:jc w:val="lowKashida"/>
        <w:rPr>
          <w:rFonts w:ascii="Arial" w:hAnsi="Arial" w:cs="Arial"/>
          <w:sz w:val="24"/>
          <w:rtl/>
        </w:rPr>
      </w:pPr>
      <w:r w:rsidRPr="00FC0576">
        <w:rPr>
          <w:rFonts w:ascii="Arial" w:hAnsi="Arial" w:cs="Arial" w:hint="cs"/>
          <w:sz w:val="24"/>
          <w:rtl/>
        </w:rPr>
        <w:t>آگاهی‏های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بیشتر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شرکت‏های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چند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ملیتی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در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رویارویی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احتمالی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با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خطرها</w:t>
      </w:r>
      <w:r w:rsidRPr="00FC0576">
        <w:rPr>
          <w:rFonts w:ascii="Arial" w:hAnsi="Arial" w:cs="Arial"/>
          <w:sz w:val="24"/>
          <w:rtl/>
        </w:rPr>
        <w:t>:</w:t>
      </w:r>
    </w:p>
    <w:p w:rsidR="00FC0576" w:rsidRDefault="00FC0576" w:rsidP="00FC0576">
      <w:pPr>
        <w:jc w:val="lowKashida"/>
        <w:rPr>
          <w:rFonts w:ascii="Arial" w:hAnsi="Arial" w:cs="Arial"/>
          <w:sz w:val="24"/>
          <w:rtl/>
        </w:rPr>
      </w:pPr>
      <w:r w:rsidRPr="00FC0576">
        <w:rPr>
          <w:rFonts w:ascii="Arial" w:hAnsi="Arial" w:cs="Arial" w:hint="cs"/>
          <w:sz w:val="24"/>
          <w:rtl/>
        </w:rPr>
        <w:t>معیارهای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پیش‏گیرانه‏ای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که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شرکت‏ها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برای‏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محدود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کردن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مواجهه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با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ریسک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اتخاذ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و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طراحی‏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کرده‏اند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امروزه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رشد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یافته‏اند</w:t>
      </w:r>
      <w:r w:rsidRPr="00FC0576">
        <w:rPr>
          <w:rFonts w:ascii="Arial" w:hAnsi="Arial" w:cs="Arial"/>
          <w:sz w:val="24"/>
          <w:rtl/>
        </w:rPr>
        <w:t>.</w:t>
      </w:r>
    </w:p>
    <w:p w:rsidR="00FC0576" w:rsidRDefault="00FC0576" w:rsidP="00FC0576">
      <w:pPr>
        <w:jc w:val="lowKashida"/>
        <w:rPr>
          <w:rFonts w:ascii="Arial" w:hAnsi="Arial" w:cs="Arial"/>
          <w:sz w:val="24"/>
          <w:rtl/>
        </w:rPr>
      </w:pPr>
      <w:r w:rsidRPr="00FC0576">
        <w:rPr>
          <w:rFonts w:ascii="Arial" w:hAnsi="Arial" w:cs="Arial" w:hint="cs"/>
          <w:sz w:val="24"/>
          <w:rtl/>
        </w:rPr>
        <w:t>مترجم</w:t>
      </w:r>
      <w:r w:rsidRPr="00FC0576">
        <w:rPr>
          <w:rFonts w:ascii="Arial" w:hAnsi="Arial" w:cs="Arial"/>
          <w:sz w:val="24"/>
          <w:rtl/>
        </w:rPr>
        <w:t>:</w:t>
      </w:r>
      <w:r w:rsidRPr="00FC0576">
        <w:rPr>
          <w:rFonts w:ascii="Arial" w:hAnsi="Arial" w:cs="Arial" w:hint="cs"/>
          <w:sz w:val="24"/>
          <w:rtl/>
        </w:rPr>
        <w:t>محمود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سبزی</w:t>
      </w:r>
    </w:p>
    <w:p w:rsidR="00FC0576" w:rsidRDefault="00FC0576" w:rsidP="00FC0576">
      <w:pPr>
        <w:jc w:val="lowKashida"/>
        <w:rPr>
          <w:rFonts w:ascii="Arial" w:hAnsi="Arial" w:cs="Arial"/>
          <w:sz w:val="24"/>
          <w:rtl/>
        </w:rPr>
      </w:pPr>
      <w:r w:rsidRPr="00FC0576">
        <w:rPr>
          <w:rFonts w:ascii="Arial" w:hAnsi="Arial" w:cs="Arial" w:hint="cs"/>
          <w:sz w:val="24"/>
          <w:rtl/>
        </w:rPr>
        <w:t>منبع</w:t>
      </w:r>
      <w:r w:rsidRPr="00FC0576">
        <w:rPr>
          <w:rFonts w:ascii="Arial" w:hAnsi="Arial" w:cs="Arial"/>
          <w:sz w:val="24"/>
          <w:rtl/>
        </w:rPr>
        <w:t xml:space="preserve">: </w:t>
      </w:r>
      <w:r w:rsidRPr="00FC0576">
        <w:rPr>
          <w:rFonts w:ascii="Arial" w:hAnsi="Arial" w:cs="Arial"/>
          <w:sz w:val="24"/>
        </w:rPr>
        <w:t xml:space="preserve">London Market </w:t>
      </w:r>
      <w:proofErr w:type="spellStart"/>
      <w:r w:rsidRPr="00FC0576">
        <w:rPr>
          <w:rFonts w:ascii="Arial" w:hAnsi="Arial" w:cs="Arial"/>
          <w:sz w:val="24"/>
        </w:rPr>
        <w:t>Newsletter,issue</w:t>
      </w:r>
      <w:proofErr w:type="spellEnd"/>
      <w:r w:rsidRPr="00FC0576">
        <w:rPr>
          <w:rFonts w:ascii="Arial" w:hAnsi="Arial" w:cs="Arial"/>
          <w:sz w:val="24"/>
        </w:rPr>
        <w:t xml:space="preserve"> 587, 21 September 1999,P.3</w:t>
      </w:r>
      <w:r w:rsidRPr="00FC0576">
        <w:rPr>
          <w:rFonts w:ascii="Arial" w:hAnsi="Arial" w:cs="Arial"/>
          <w:sz w:val="24"/>
          <w:rtl/>
        </w:rPr>
        <w:t xml:space="preserve">. </w:t>
      </w:r>
    </w:p>
    <w:p w:rsidR="00FC0576" w:rsidRPr="00FC0576" w:rsidRDefault="00FC0576" w:rsidP="00FC0576">
      <w:pPr>
        <w:jc w:val="lowKashida"/>
        <w:rPr>
          <w:rFonts w:ascii="Arial" w:hAnsi="Arial" w:cs="Arial"/>
          <w:sz w:val="24"/>
          <w:rtl/>
        </w:rPr>
      </w:pPr>
      <w:r w:rsidRPr="00FC0576">
        <w:rPr>
          <w:rFonts w:ascii="Arial" w:hAnsi="Arial" w:cs="Arial" w:hint="cs"/>
          <w:sz w:val="24"/>
          <w:rtl/>
        </w:rPr>
        <w:t>توجه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جامعه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اروپایی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به‏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گروه‏های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بیمه‏ای</w:t>
      </w:r>
    </w:p>
    <w:p w:rsidR="00FC0576" w:rsidRDefault="00FC0576" w:rsidP="00FC0576">
      <w:pPr>
        <w:jc w:val="lowKashida"/>
        <w:rPr>
          <w:rFonts w:ascii="Arial" w:hAnsi="Arial" w:cs="Arial"/>
          <w:sz w:val="24"/>
          <w:rtl/>
        </w:rPr>
      </w:pPr>
      <w:r w:rsidRPr="00FC0576">
        <w:rPr>
          <w:rFonts w:ascii="Arial" w:hAnsi="Arial" w:cs="Arial" w:hint="cs"/>
          <w:sz w:val="24"/>
          <w:rtl/>
        </w:rPr>
        <w:t>یکی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از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اهداف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اساسی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موسسه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بین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المللی‏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نسبتا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جدید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ناظران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بیمه</w:t>
      </w:r>
      <w:r w:rsidRPr="00FC0576">
        <w:rPr>
          <w:rFonts w:ascii="Arial" w:hAnsi="Arial" w:cs="Arial"/>
          <w:sz w:val="24"/>
          <w:rtl/>
        </w:rPr>
        <w:t xml:space="preserve"> (</w:t>
      </w:r>
      <w:r w:rsidRPr="00FC0576">
        <w:rPr>
          <w:rFonts w:ascii="Arial" w:hAnsi="Arial" w:cs="Arial"/>
          <w:sz w:val="24"/>
        </w:rPr>
        <w:t>IAIS</w:t>
      </w:r>
      <w:r w:rsidRPr="00FC0576">
        <w:rPr>
          <w:rFonts w:ascii="Arial" w:hAnsi="Arial" w:cs="Arial"/>
          <w:sz w:val="24"/>
          <w:rtl/>
        </w:rPr>
        <w:t xml:space="preserve">) </w:t>
      </w:r>
      <w:r w:rsidRPr="00FC0576">
        <w:rPr>
          <w:rFonts w:ascii="Arial" w:hAnsi="Arial" w:cs="Arial" w:hint="cs"/>
          <w:sz w:val="24"/>
          <w:rtl/>
        </w:rPr>
        <w:t>نگاهی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مجدد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به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گروه‏ها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یا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مجتمع‏های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بیمه‏ای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است</w:t>
      </w:r>
      <w:r w:rsidRPr="00FC0576">
        <w:rPr>
          <w:rFonts w:ascii="Arial" w:hAnsi="Arial" w:cs="Arial"/>
          <w:sz w:val="24"/>
          <w:rtl/>
        </w:rPr>
        <w:t>.</w:t>
      </w:r>
      <w:r w:rsidRPr="00FC0576">
        <w:rPr>
          <w:rFonts w:ascii="Arial" w:hAnsi="Arial" w:cs="Arial" w:hint="cs"/>
          <w:sz w:val="24"/>
          <w:rtl/>
        </w:rPr>
        <w:t>تاکنون‏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غالبا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نظارت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بر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توانایی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پرداخت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دیون‏</w:t>
      </w:r>
      <w:r w:rsidRPr="00FC0576">
        <w:rPr>
          <w:rFonts w:ascii="Arial" w:hAnsi="Arial" w:cs="Arial"/>
          <w:sz w:val="24"/>
          <w:rtl/>
        </w:rPr>
        <w:t xml:space="preserve"> (</w:t>
      </w:r>
      <w:r w:rsidRPr="00FC0576">
        <w:rPr>
          <w:rFonts w:ascii="Arial" w:hAnsi="Arial" w:cs="Arial" w:hint="cs"/>
          <w:sz w:val="24"/>
          <w:rtl/>
        </w:rPr>
        <w:t>توان‏گری</w:t>
      </w:r>
      <w:r w:rsidRPr="00FC0576">
        <w:rPr>
          <w:rFonts w:ascii="Arial" w:hAnsi="Arial" w:cs="Arial"/>
          <w:sz w:val="24"/>
          <w:rtl/>
        </w:rPr>
        <w:t>)</w:t>
      </w:r>
      <w:r w:rsidRPr="00FC0576">
        <w:rPr>
          <w:rFonts w:ascii="Arial" w:hAnsi="Arial" w:cs="Arial" w:hint="cs"/>
          <w:sz w:val="24"/>
          <w:rtl/>
        </w:rPr>
        <w:t>صنعت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بیمه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براساس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هر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شرکت‏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به‏طور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جداگانه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انجام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می‏گرفته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است</w:t>
      </w:r>
      <w:r w:rsidRPr="00FC0576">
        <w:rPr>
          <w:rFonts w:ascii="Arial" w:hAnsi="Arial" w:cs="Arial"/>
          <w:sz w:val="24"/>
          <w:rtl/>
        </w:rPr>
        <w:t>.</w:t>
      </w:r>
      <w:r w:rsidRPr="00FC0576">
        <w:rPr>
          <w:rFonts w:ascii="Arial" w:hAnsi="Arial" w:cs="Arial" w:hint="cs"/>
          <w:sz w:val="24"/>
          <w:rtl/>
        </w:rPr>
        <w:t>این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بدان‏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معناست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که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ضابطان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به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هر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شرکت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به‏طور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جداگانه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می‏نگریسته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و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تعیین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می‏کرده‏اند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که‏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آیا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توانایی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مالی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او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برای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حمایت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از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بیمه‏گذاران‏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کافی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است</w:t>
      </w:r>
      <w:r w:rsidRPr="00FC0576">
        <w:rPr>
          <w:rFonts w:ascii="Arial" w:hAnsi="Arial" w:cs="Arial"/>
          <w:sz w:val="24"/>
          <w:rtl/>
        </w:rPr>
        <w:t>.</w:t>
      </w:r>
    </w:p>
    <w:p w:rsidR="00FC0576" w:rsidRDefault="00FC0576" w:rsidP="00FC0576">
      <w:pPr>
        <w:jc w:val="lowKashida"/>
        <w:rPr>
          <w:rFonts w:ascii="Arial" w:hAnsi="Arial" w:cs="Arial"/>
          <w:sz w:val="24"/>
          <w:rtl/>
        </w:rPr>
      </w:pPr>
      <w:proofErr w:type="spellStart"/>
      <w:r w:rsidRPr="00FC0576">
        <w:rPr>
          <w:rFonts w:ascii="Arial" w:hAnsi="Arial" w:cs="Arial"/>
          <w:sz w:val="24"/>
        </w:rPr>
        <w:t>Moodyṣs</w:t>
      </w:r>
      <w:proofErr w:type="spellEnd"/>
      <w:r w:rsidRPr="00FC0576">
        <w:rPr>
          <w:rFonts w:ascii="Arial" w:hAnsi="Arial" w:cs="Arial"/>
          <w:sz w:val="24"/>
        </w:rPr>
        <w:t xml:space="preserve"> Investor Service</w:t>
      </w:r>
      <w:r w:rsidRPr="00FC0576">
        <w:rPr>
          <w:rFonts w:ascii="Arial" w:hAnsi="Arial" w:cs="Arial"/>
          <w:sz w:val="24"/>
          <w:rtl/>
        </w:rPr>
        <w:t xml:space="preserve"> (</w:t>
      </w:r>
      <w:r w:rsidRPr="00FC0576">
        <w:rPr>
          <w:rFonts w:ascii="Arial" w:hAnsi="Arial" w:cs="Arial" w:hint="cs"/>
          <w:sz w:val="24"/>
          <w:rtl/>
        </w:rPr>
        <w:t>شرکت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خدمات‏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سرمایه‏گذاری</w:t>
      </w:r>
      <w:r w:rsidRPr="00FC0576">
        <w:rPr>
          <w:rFonts w:ascii="Arial" w:hAnsi="Arial" w:cs="Arial"/>
          <w:sz w:val="24"/>
          <w:rtl/>
        </w:rPr>
        <w:t xml:space="preserve"> (</w:t>
      </w:r>
      <w:r w:rsidRPr="00FC0576">
        <w:rPr>
          <w:rFonts w:ascii="Arial" w:hAnsi="Arial" w:cs="Arial"/>
          <w:sz w:val="24"/>
        </w:rPr>
        <w:t>Moody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اخیرا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گزارش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جالبی‏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در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خصوص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قانون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اروپایی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جدید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در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مورد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نظارت‏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بر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گروه‏های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بیمه‏ای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منتشر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کرده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است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که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ارزش‏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مطالعه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بیشتری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دارد</w:t>
      </w:r>
      <w:r w:rsidRPr="00FC0576">
        <w:rPr>
          <w:rFonts w:ascii="Arial" w:hAnsi="Arial" w:cs="Arial"/>
          <w:sz w:val="24"/>
          <w:rtl/>
        </w:rPr>
        <w:t>.</w:t>
      </w:r>
      <w:r w:rsidRPr="00FC0576">
        <w:rPr>
          <w:rFonts w:ascii="Arial" w:hAnsi="Arial" w:cs="Arial" w:hint="cs"/>
          <w:sz w:val="24"/>
          <w:rtl/>
        </w:rPr>
        <w:t>ما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در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این‏جا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یک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یا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دو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مورد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از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مشاهدات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آن‏ها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را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بررسی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می‏کنیم</w:t>
      </w:r>
      <w:r w:rsidRPr="00FC0576">
        <w:rPr>
          <w:rFonts w:ascii="Arial" w:hAnsi="Arial" w:cs="Arial"/>
          <w:sz w:val="24"/>
          <w:rtl/>
        </w:rPr>
        <w:t>.</w:t>
      </w:r>
    </w:p>
    <w:p w:rsidR="00FC0576" w:rsidRDefault="00FC0576" w:rsidP="00FC0576">
      <w:pPr>
        <w:jc w:val="lowKashida"/>
        <w:rPr>
          <w:rFonts w:ascii="Arial" w:hAnsi="Arial" w:cs="Arial"/>
          <w:sz w:val="24"/>
          <w:rtl/>
        </w:rPr>
      </w:pPr>
      <w:r w:rsidRPr="00FC0576">
        <w:rPr>
          <w:rFonts w:ascii="Arial" w:hAnsi="Arial" w:cs="Arial"/>
          <w:sz w:val="24"/>
        </w:rPr>
        <w:t>Moody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می‏گوید</w:t>
      </w:r>
      <w:proofErr w:type="gramStart"/>
      <w:r w:rsidRPr="00FC0576">
        <w:rPr>
          <w:rFonts w:ascii="Arial" w:hAnsi="Arial" w:cs="Arial"/>
          <w:sz w:val="24"/>
          <w:rtl/>
        </w:rPr>
        <w:t>:</w:t>
      </w:r>
      <w:r w:rsidRPr="00FC0576">
        <w:rPr>
          <w:rFonts w:ascii="Arial" w:hAnsi="Arial" w:cs="Arial" w:hint="cs"/>
          <w:sz w:val="24"/>
          <w:rtl/>
        </w:rPr>
        <w:t>تغییر</w:t>
      </w:r>
      <w:proofErr w:type="gramEnd"/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دقیق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و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موشکافانه‏ای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در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محورهای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مورد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تأکید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مقررات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بیمه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اروپا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صورت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گرفته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است</w:t>
      </w:r>
      <w:r w:rsidRPr="00FC0576">
        <w:rPr>
          <w:rFonts w:ascii="Arial" w:hAnsi="Arial" w:cs="Arial"/>
          <w:sz w:val="24"/>
          <w:rtl/>
        </w:rPr>
        <w:t>.</w:t>
      </w:r>
      <w:r w:rsidRPr="00FC0576">
        <w:rPr>
          <w:rFonts w:ascii="Arial" w:hAnsi="Arial" w:cs="Arial" w:hint="cs"/>
          <w:sz w:val="24"/>
          <w:rtl/>
        </w:rPr>
        <w:t>نظارت‏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بیمه‏ای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در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اروپا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قبلا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بر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تصویب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نرخ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حق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بیمه‏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تمرکز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برای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ناظران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و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ضابطان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و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یکی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از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ابزار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اصلی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نظارت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برای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کفایت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سرمایه،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حد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توان‏گری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است</w:t>
      </w:r>
      <w:r w:rsidRPr="00FC0576">
        <w:rPr>
          <w:rFonts w:ascii="Arial" w:hAnsi="Arial" w:cs="Arial"/>
          <w:sz w:val="24"/>
          <w:rtl/>
        </w:rPr>
        <w:t>.</w:t>
      </w:r>
    </w:p>
    <w:p w:rsidR="00FC0576" w:rsidRDefault="00FC0576" w:rsidP="00FC0576">
      <w:pPr>
        <w:jc w:val="lowKashida"/>
        <w:rPr>
          <w:rFonts w:ascii="Arial" w:hAnsi="Arial" w:cs="Arial"/>
          <w:sz w:val="24"/>
          <w:rtl/>
        </w:rPr>
      </w:pPr>
      <w:r w:rsidRPr="00FC0576">
        <w:rPr>
          <w:rFonts w:ascii="Arial" w:hAnsi="Arial" w:cs="Arial" w:hint="cs"/>
          <w:sz w:val="24"/>
          <w:rtl/>
        </w:rPr>
        <w:t>مقررات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جدید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اروپایی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منتشر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شده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در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دسامبر</w:t>
      </w:r>
      <w:r w:rsidRPr="00FC0576">
        <w:rPr>
          <w:rFonts w:ascii="Arial" w:hAnsi="Arial" w:cs="Arial"/>
          <w:sz w:val="24"/>
          <w:rtl/>
        </w:rPr>
        <w:t xml:space="preserve"> 1998</w:t>
      </w:r>
      <w:r w:rsidRPr="00FC0576">
        <w:rPr>
          <w:rFonts w:ascii="Arial" w:hAnsi="Arial" w:cs="Arial" w:hint="cs"/>
          <w:sz w:val="24"/>
          <w:rtl/>
        </w:rPr>
        <w:t>،شامل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قانون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مصوب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مجلس‏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اروپا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به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شماره</w:t>
      </w:r>
      <w:r w:rsidRPr="00FC0576">
        <w:rPr>
          <w:rFonts w:ascii="Arial" w:hAnsi="Arial" w:cs="Arial"/>
          <w:sz w:val="24"/>
          <w:rtl/>
        </w:rPr>
        <w:t xml:space="preserve"> 98/78/</w:t>
      </w:r>
      <w:r w:rsidRPr="00FC0576">
        <w:rPr>
          <w:rFonts w:ascii="Arial" w:hAnsi="Arial" w:cs="Arial"/>
          <w:sz w:val="24"/>
        </w:rPr>
        <w:t>EC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و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مصوب</w:t>
      </w:r>
      <w:r w:rsidRPr="00FC0576">
        <w:rPr>
          <w:rFonts w:ascii="Arial" w:hAnsi="Arial" w:cs="Arial"/>
          <w:sz w:val="24"/>
          <w:rtl/>
        </w:rPr>
        <w:t xml:space="preserve"> 27 </w:t>
      </w:r>
      <w:r w:rsidRPr="00FC0576">
        <w:rPr>
          <w:rFonts w:ascii="Arial" w:hAnsi="Arial" w:cs="Arial" w:hint="cs"/>
          <w:sz w:val="24"/>
          <w:rtl/>
        </w:rPr>
        <w:t>اکتبر</w:t>
      </w:r>
      <w:r w:rsidRPr="00FC0576">
        <w:rPr>
          <w:rFonts w:ascii="Arial" w:hAnsi="Arial" w:cs="Arial"/>
          <w:sz w:val="24"/>
          <w:rtl/>
        </w:rPr>
        <w:t xml:space="preserve"> 1998 </w:t>
      </w:r>
      <w:r w:rsidRPr="00FC0576">
        <w:rPr>
          <w:rFonts w:ascii="Arial" w:hAnsi="Arial" w:cs="Arial" w:hint="cs"/>
          <w:sz w:val="24"/>
          <w:rtl/>
        </w:rPr>
        <w:t>شورای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اروپا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در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باب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نظارت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تکمیلی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بر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تعهدات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بیمه‏ای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در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گروه‏های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بیمه،روش‏های‏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جدیدی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را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برای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نظارت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بر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گروه‏های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بیمه‏ای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در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اروپا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پیش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رو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قرار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داده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است</w:t>
      </w:r>
      <w:r w:rsidRPr="00FC0576">
        <w:rPr>
          <w:rFonts w:ascii="Arial" w:hAnsi="Arial" w:cs="Arial"/>
          <w:sz w:val="24"/>
          <w:rtl/>
        </w:rPr>
        <w:t>.</w:t>
      </w:r>
      <w:r w:rsidRPr="00FC0576">
        <w:rPr>
          <w:rFonts w:ascii="Arial" w:hAnsi="Arial" w:cs="Arial" w:hint="cs"/>
          <w:sz w:val="24"/>
          <w:rtl/>
        </w:rPr>
        <w:t>قانون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مذکور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هم‏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چنین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برای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اولین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بار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یک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استاندارد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توان‏گری‏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تکمیلی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قابل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اجرا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در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گروه‏های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بیمه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را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معرفی‏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کرده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است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که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برای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هر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دو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رشته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بیمه‏های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عمر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و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غیر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عمر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لازم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الاجر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است</w:t>
      </w:r>
      <w:r w:rsidRPr="00FC0576">
        <w:rPr>
          <w:rFonts w:ascii="Arial" w:hAnsi="Arial" w:cs="Arial"/>
          <w:sz w:val="24"/>
          <w:rtl/>
        </w:rPr>
        <w:t>.</w:t>
      </w:r>
    </w:p>
    <w:p w:rsidR="00FC0576" w:rsidRDefault="00FC0576" w:rsidP="00FC0576">
      <w:pPr>
        <w:jc w:val="lowKashida"/>
        <w:rPr>
          <w:rFonts w:ascii="Arial" w:hAnsi="Arial" w:cs="Arial"/>
          <w:sz w:val="24"/>
          <w:rtl/>
        </w:rPr>
      </w:pPr>
      <w:r w:rsidRPr="00FC0576">
        <w:rPr>
          <w:rFonts w:ascii="Arial" w:hAnsi="Arial" w:cs="Arial"/>
          <w:sz w:val="24"/>
        </w:rPr>
        <w:t xml:space="preserve">Martin </w:t>
      </w:r>
      <w:proofErr w:type="gramStart"/>
      <w:r w:rsidRPr="00FC0576">
        <w:rPr>
          <w:rFonts w:ascii="Arial" w:hAnsi="Arial" w:cs="Arial"/>
          <w:sz w:val="24"/>
        </w:rPr>
        <w:t>Mills</w:t>
      </w:r>
      <w:proofErr w:type="gramEnd"/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نویسنده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گزارش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/>
          <w:sz w:val="24"/>
        </w:rPr>
        <w:t>Moody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معتقد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است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که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این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تغییر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در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مقررات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ممکن‏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است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تأثیر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زیادی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بر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گروه‏های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بیمه‏ای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اروپا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به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ویژه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در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مدیریت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ساختار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سرمایه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داشته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باشد</w:t>
      </w:r>
      <w:r w:rsidRPr="00FC0576">
        <w:rPr>
          <w:rFonts w:ascii="Arial" w:hAnsi="Arial" w:cs="Arial"/>
          <w:sz w:val="24"/>
          <w:rtl/>
        </w:rPr>
        <w:t xml:space="preserve">. </w:t>
      </w:r>
      <w:r w:rsidRPr="00FC0576">
        <w:rPr>
          <w:rFonts w:ascii="Arial" w:hAnsi="Arial" w:cs="Arial" w:hint="cs"/>
          <w:sz w:val="24"/>
          <w:rtl/>
        </w:rPr>
        <w:t>گزارش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/>
          <w:sz w:val="24"/>
        </w:rPr>
        <w:t>Moody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آشکارا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مدافع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قانون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جدید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است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و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پیش‏بینی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می‏کند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که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این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موضوع،هم‏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به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کیفیت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نظارت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بر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بیمه‏گران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خواهد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افزود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و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هم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حمایت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بیمه‏گذاران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اروپایی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را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افزایش‏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خواهد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داد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که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این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امر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از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طریق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حذف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تأمین‏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مالی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مجدد</w:t>
      </w:r>
      <w:r w:rsidRPr="00FC0576">
        <w:rPr>
          <w:rFonts w:ascii="Arial" w:hAnsi="Arial" w:cs="Arial"/>
          <w:sz w:val="24"/>
          <w:rtl/>
        </w:rPr>
        <w:t xml:space="preserve"> (</w:t>
      </w:r>
      <w:r w:rsidRPr="00FC0576">
        <w:rPr>
          <w:rFonts w:ascii="Arial" w:hAnsi="Arial" w:cs="Arial"/>
          <w:sz w:val="24"/>
        </w:rPr>
        <w:t>double leverage</w:t>
      </w:r>
      <w:r w:rsidRPr="00FC0576">
        <w:rPr>
          <w:rFonts w:ascii="Arial" w:hAnsi="Arial" w:cs="Arial"/>
          <w:sz w:val="24"/>
          <w:rtl/>
        </w:rPr>
        <w:t xml:space="preserve">) </w:t>
      </w:r>
      <w:r w:rsidRPr="00FC0576">
        <w:rPr>
          <w:rFonts w:ascii="Arial" w:hAnsi="Arial" w:cs="Arial" w:hint="cs"/>
          <w:sz w:val="24"/>
          <w:rtl/>
        </w:rPr>
        <w:t>در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محاسبه‏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حد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توان‏گری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تعدیل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شده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شرکت‏های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بیمه‏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صورت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می‏گیرد</w:t>
      </w:r>
      <w:r w:rsidRPr="00FC0576">
        <w:rPr>
          <w:rFonts w:ascii="Arial" w:hAnsi="Arial" w:cs="Arial"/>
          <w:sz w:val="24"/>
          <w:rtl/>
        </w:rPr>
        <w:t>.</w:t>
      </w:r>
      <w:r w:rsidRPr="00FC0576">
        <w:rPr>
          <w:rFonts w:ascii="Arial" w:hAnsi="Arial" w:cs="Arial" w:hint="cs"/>
          <w:sz w:val="24"/>
          <w:rtl/>
        </w:rPr>
        <w:t>هم‏چنین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این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امر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به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جریان‏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بزرگ‏تری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از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اطلاعات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بین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ضابطان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و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ناظران‏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بیمه‏ای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منجر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خواهد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شد</w:t>
      </w:r>
      <w:r w:rsidRPr="00FC0576">
        <w:rPr>
          <w:rFonts w:ascii="Arial" w:hAnsi="Arial" w:cs="Arial"/>
          <w:sz w:val="24"/>
          <w:rtl/>
        </w:rPr>
        <w:t>.</w:t>
      </w:r>
    </w:p>
    <w:p w:rsidR="00FC0576" w:rsidRDefault="00FC0576" w:rsidP="00FC0576">
      <w:pPr>
        <w:jc w:val="lowKashida"/>
        <w:rPr>
          <w:rFonts w:ascii="Arial" w:hAnsi="Arial" w:cs="Arial"/>
          <w:sz w:val="24"/>
          <w:rtl/>
        </w:rPr>
      </w:pPr>
      <w:r w:rsidRPr="00FC0576">
        <w:rPr>
          <w:rFonts w:ascii="Arial" w:hAnsi="Arial" w:cs="Arial"/>
          <w:sz w:val="24"/>
        </w:rPr>
        <w:t>Moody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هشدار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می‏دهد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که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حذف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تأمین‏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مالی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مجدد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از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محاسبه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توان‏گری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ممکن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است‏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برای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گروه‏های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بیمه‏ای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با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سرمایه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کم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مسائل‏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استراتژیک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به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وجود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آورد</w:t>
      </w:r>
      <w:r w:rsidRPr="00FC0576">
        <w:rPr>
          <w:rFonts w:ascii="Arial" w:hAnsi="Arial" w:cs="Arial"/>
          <w:sz w:val="24"/>
          <w:rtl/>
        </w:rPr>
        <w:t>.</w:t>
      </w:r>
      <w:r w:rsidRPr="00FC0576">
        <w:rPr>
          <w:rFonts w:ascii="Arial" w:hAnsi="Arial" w:cs="Arial" w:hint="cs"/>
          <w:sz w:val="24"/>
          <w:rtl/>
        </w:rPr>
        <w:t>ممکن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است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بعضی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از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شرکت‏ها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مجبور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به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کناره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گرفتن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از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فعالیت‏هایی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که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فرصت‏های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بزرگی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را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برای‏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تشکیل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سرمایه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برای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آن‏ها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فراهم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نمی‏کند،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شوند</w:t>
      </w:r>
      <w:r w:rsidRPr="00FC0576">
        <w:rPr>
          <w:rFonts w:ascii="Arial" w:hAnsi="Arial" w:cs="Arial"/>
          <w:sz w:val="24"/>
          <w:rtl/>
        </w:rPr>
        <w:t>.</w:t>
      </w:r>
      <w:r w:rsidRPr="00FC0576">
        <w:rPr>
          <w:rFonts w:ascii="Arial" w:hAnsi="Arial" w:cs="Arial" w:hint="cs"/>
          <w:sz w:val="24"/>
          <w:rtl/>
        </w:rPr>
        <w:t>یا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از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فعالیت‏هایی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که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موجب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برگشت‏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کافی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سرمایه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نمی‏شود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محروم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شوند</w:t>
      </w:r>
      <w:r w:rsidRPr="00FC0576">
        <w:rPr>
          <w:rFonts w:ascii="Arial" w:hAnsi="Arial" w:cs="Arial"/>
          <w:sz w:val="24"/>
          <w:rtl/>
        </w:rPr>
        <w:t>.</w:t>
      </w:r>
      <w:r w:rsidRPr="00FC0576">
        <w:rPr>
          <w:rFonts w:ascii="Arial" w:hAnsi="Arial" w:cs="Arial" w:hint="cs"/>
          <w:sz w:val="24"/>
          <w:rtl/>
        </w:rPr>
        <w:t>هم‏چنین‏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بعضی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از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شرکت‏ها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امکان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دارد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مجبور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شوند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که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سرمایه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بیشتری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تأمین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کنند،گرچه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هزینه‏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سرمایه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اضافی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ممکن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است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قابلیت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رقابت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این‏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شرکت‏ها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را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کاهش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دهد</w:t>
      </w:r>
      <w:r w:rsidRPr="00FC0576">
        <w:rPr>
          <w:rFonts w:ascii="Arial" w:hAnsi="Arial" w:cs="Arial"/>
          <w:sz w:val="24"/>
          <w:rtl/>
        </w:rPr>
        <w:t>.</w:t>
      </w:r>
    </w:p>
    <w:p w:rsidR="00FC0576" w:rsidRDefault="00FC0576" w:rsidP="00FC0576">
      <w:pPr>
        <w:jc w:val="lowKashida"/>
        <w:rPr>
          <w:rFonts w:ascii="Arial" w:hAnsi="Arial" w:cs="Arial"/>
          <w:sz w:val="24"/>
          <w:rtl/>
        </w:rPr>
      </w:pPr>
      <w:proofErr w:type="gramStart"/>
      <w:r w:rsidRPr="00FC0576">
        <w:rPr>
          <w:rFonts w:ascii="Arial" w:hAnsi="Arial" w:cs="Arial"/>
          <w:sz w:val="24"/>
        </w:rPr>
        <w:t>Moody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نتیجه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می‏گیرد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که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چارچوب‏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نظارت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جدید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برای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بعضی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از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گروه‏های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بیمه‏ای‏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فرصت‏هایی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به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وجود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می‏آورد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که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سرمایه‏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بیشتری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را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در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سطح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شرکت‏های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مادر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تأمین‏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کنند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و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برای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این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سرمایه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تأمین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شده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به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سمت‏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معیارهای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تمرکز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یافته‏ای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از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توان‏گری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lastRenderedPageBreak/>
        <w:t>پیش‏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روند</w:t>
      </w:r>
      <w:r w:rsidRPr="00FC0576">
        <w:rPr>
          <w:rFonts w:ascii="Arial" w:hAnsi="Arial" w:cs="Arial"/>
          <w:sz w:val="24"/>
          <w:rtl/>
        </w:rPr>
        <w:t>.</w:t>
      </w:r>
      <w:proofErr w:type="gramEnd"/>
      <w:r w:rsidRPr="00FC0576">
        <w:rPr>
          <w:rFonts w:ascii="Arial" w:hAnsi="Arial" w:cs="Arial"/>
          <w:sz w:val="24"/>
          <w:rtl/>
        </w:rPr>
        <w:t xml:space="preserve"> </w:t>
      </w:r>
      <w:proofErr w:type="gramStart"/>
      <w:r w:rsidRPr="00FC0576">
        <w:rPr>
          <w:rFonts w:ascii="Arial" w:hAnsi="Arial" w:cs="Arial"/>
          <w:sz w:val="24"/>
        </w:rPr>
        <w:t>Moody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فکر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می‏کند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این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امر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ممکن‏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است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هرچه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بیشتر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به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رشد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صدور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اوراق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بهادار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برای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تأمین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سرمایه‏های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مختلط</w:t>
      </w:r>
      <w:r w:rsidRPr="00FC0576">
        <w:rPr>
          <w:rFonts w:ascii="Arial" w:hAnsi="Arial" w:cs="Arial"/>
          <w:sz w:val="24"/>
          <w:rtl/>
        </w:rPr>
        <w:t xml:space="preserve"> (</w:t>
      </w:r>
      <w:r w:rsidRPr="00FC0576">
        <w:rPr>
          <w:rFonts w:ascii="Arial" w:hAnsi="Arial" w:cs="Arial"/>
          <w:sz w:val="24"/>
        </w:rPr>
        <w:t>hybrid capital</w:t>
      </w:r>
      <w:r w:rsidRPr="00FC0576">
        <w:rPr>
          <w:rFonts w:ascii="Arial" w:hAnsi="Arial" w:cs="Arial"/>
          <w:sz w:val="24"/>
          <w:rtl/>
        </w:rPr>
        <w:t xml:space="preserve">) </w:t>
      </w:r>
      <w:r w:rsidRPr="00FC0576">
        <w:rPr>
          <w:rFonts w:ascii="Arial" w:hAnsi="Arial" w:cs="Arial" w:hint="cs"/>
          <w:sz w:val="24"/>
          <w:rtl/>
        </w:rPr>
        <w:t>به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صنعت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بیمه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اروپا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کمک‏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کند</w:t>
      </w:r>
      <w:r w:rsidRPr="00FC0576">
        <w:rPr>
          <w:rFonts w:ascii="Arial" w:hAnsi="Arial" w:cs="Arial"/>
          <w:sz w:val="24"/>
          <w:rtl/>
        </w:rPr>
        <w:t>.</w:t>
      </w:r>
      <w:proofErr w:type="gramEnd"/>
    </w:p>
    <w:p w:rsidR="00FC0576" w:rsidRDefault="00FC0576" w:rsidP="00FC0576">
      <w:pPr>
        <w:jc w:val="lowKashida"/>
        <w:rPr>
          <w:rFonts w:ascii="Arial" w:hAnsi="Arial" w:cs="Arial"/>
          <w:sz w:val="24"/>
          <w:rtl/>
        </w:rPr>
      </w:pPr>
      <w:r w:rsidRPr="00FC0576">
        <w:rPr>
          <w:rFonts w:ascii="Arial" w:hAnsi="Arial" w:cs="Arial" w:hint="cs"/>
          <w:sz w:val="24"/>
          <w:rtl/>
        </w:rPr>
        <w:t>مترجم</w:t>
      </w:r>
      <w:r w:rsidRPr="00FC0576">
        <w:rPr>
          <w:rFonts w:ascii="Arial" w:hAnsi="Arial" w:cs="Arial"/>
          <w:sz w:val="24"/>
          <w:rtl/>
        </w:rPr>
        <w:t>:</w:t>
      </w:r>
      <w:r w:rsidRPr="00FC0576">
        <w:rPr>
          <w:rFonts w:ascii="Arial" w:hAnsi="Arial" w:cs="Arial" w:hint="cs"/>
          <w:sz w:val="24"/>
          <w:rtl/>
        </w:rPr>
        <w:t>فریبا</w:t>
      </w:r>
      <w:r w:rsidRPr="00FC0576">
        <w:rPr>
          <w:rFonts w:ascii="Arial" w:hAnsi="Arial" w:cs="Arial"/>
          <w:sz w:val="24"/>
          <w:rtl/>
        </w:rPr>
        <w:t xml:space="preserve"> </w:t>
      </w:r>
      <w:r w:rsidRPr="00FC0576">
        <w:rPr>
          <w:rFonts w:ascii="Arial" w:hAnsi="Arial" w:cs="Arial" w:hint="cs"/>
          <w:sz w:val="24"/>
          <w:rtl/>
        </w:rPr>
        <w:t>طاهرپور</w:t>
      </w:r>
    </w:p>
    <w:p w:rsidR="00FC0576" w:rsidRDefault="00FC0576" w:rsidP="00FC0576">
      <w:pPr>
        <w:jc w:val="lowKashida"/>
        <w:rPr>
          <w:rFonts w:ascii="Arial" w:hAnsi="Arial" w:cs="Arial"/>
          <w:sz w:val="24"/>
          <w:rtl/>
        </w:rPr>
      </w:pPr>
      <w:r w:rsidRPr="00FC0576">
        <w:rPr>
          <w:rFonts w:ascii="Arial" w:hAnsi="Arial" w:cs="Arial" w:hint="cs"/>
          <w:sz w:val="24"/>
          <w:rtl/>
        </w:rPr>
        <w:t>منبع</w:t>
      </w:r>
      <w:r w:rsidRPr="00FC0576">
        <w:rPr>
          <w:rFonts w:ascii="Arial" w:hAnsi="Arial" w:cs="Arial"/>
          <w:sz w:val="24"/>
          <w:rtl/>
        </w:rPr>
        <w:t xml:space="preserve">: </w:t>
      </w:r>
      <w:r w:rsidRPr="00FC0576">
        <w:rPr>
          <w:rFonts w:ascii="Arial" w:hAnsi="Arial" w:cs="Arial"/>
          <w:sz w:val="24"/>
        </w:rPr>
        <w:t xml:space="preserve">Insurance Reinsurance solvency </w:t>
      </w:r>
      <w:proofErr w:type="spellStart"/>
      <w:r w:rsidRPr="00FC0576">
        <w:rPr>
          <w:rFonts w:ascii="Arial" w:hAnsi="Arial" w:cs="Arial"/>
          <w:sz w:val="24"/>
        </w:rPr>
        <w:t>report,issue</w:t>
      </w:r>
      <w:proofErr w:type="spellEnd"/>
      <w:r w:rsidRPr="00FC0576">
        <w:rPr>
          <w:rFonts w:ascii="Arial" w:hAnsi="Arial" w:cs="Arial"/>
          <w:sz w:val="24"/>
        </w:rPr>
        <w:t xml:space="preserve"> 393,5july 1999,P.1</w:t>
      </w:r>
      <w:r w:rsidRPr="00FC0576">
        <w:rPr>
          <w:rFonts w:ascii="Arial" w:hAnsi="Arial" w:cs="Arial"/>
          <w:sz w:val="24"/>
          <w:rtl/>
        </w:rPr>
        <w:t xml:space="preserve">. </w:t>
      </w:r>
    </w:p>
    <w:p w:rsidR="00FC0576" w:rsidRPr="00FC0576" w:rsidRDefault="00FC0576" w:rsidP="00FC0576">
      <w:pPr>
        <w:jc w:val="lowKashida"/>
        <w:rPr>
          <w:rFonts w:ascii="Arial" w:hAnsi="Arial" w:cs="Arial"/>
          <w:sz w:val="24"/>
          <w:rtl/>
        </w:rPr>
      </w:pPr>
      <w:r w:rsidRPr="00FC0576">
        <w:rPr>
          <w:rFonts w:ascii="Arial" w:hAnsi="Arial" w:cs="Arial" w:hint="cs"/>
          <w:sz w:val="24"/>
          <w:rtl/>
        </w:rPr>
        <w:t>چکیده‏ها</w:t>
      </w:r>
    </w:p>
    <w:p w:rsidR="00FC0576" w:rsidRDefault="00FC0576" w:rsidP="00FC0576">
      <w:pPr>
        <w:jc w:val="lowKashida"/>
        <w:rPr>
          <w:rFonts w:ascii="Arial" w:hAnsi="Arial" w:cs="Arial"/>
          <w:sz w:val="24"/>
        </w:rPr>
      </w:pPr>
      <w:r w:rsidRPr="00FC0576">
        <w:rPr>
          <w:rFonts w:ascii="Arial" w:hAnsi="Arial" w:cs="Arial"/>
          <w:sz w:val="24"/>
        </w:rPr>
        <w:t>The Ageing Development Report-</w:t>
      </w:r>
      <w:proofErr w:type="spellStart"/>
      <w:r w:rsidRPr="00FC0576">
        <w:rPr>
          <w:rFonts w:ascii="Arial" w:hAnsi="Arial" w:cs="Arial"/>
          <w:sz w:val="24"/>
        </w:rPr>
        <w:t>Poverty</w:t>
      </w:r>
      <w:proofErr w:type="gramStart"/>
      <w:r w:rsidRPr="00FC0576">
        <w:rPr>
          <w:rFonts w:ascii="Arial" w:hAnsi="Arial" w:cs="Arial"/>
          <w:sz w:val="24"/>
        </w:rPr>
        <w:t>,Independence</w:t>
      </w:r>
      <w:proofErr w:type="spellEnd"/>
      <w:proofErr w:type="gramEnd"/>
      <w:r w:rsidRPr="00FC0576">
        <w:rPr>
          <w:rFonts w:ascii="Arial" w:hAnsi="Arial" w:cs="Arial"/>
          <w:sz w:val="24"/>
        </w:rPr>
        <w:t xml:space="preserve"> and the World's Older People, Help Age </w:t>
      </w:r>
      <w:proofErr w:type="spellStart"/>
      <w:r w:rsidRPr="00FC0576">
        <w:rPr>
          <w:rFonts w:ascii="Arial" w:hAnsi="Arial" w:cs="Arial"/>
          <w:sz w:val="24"/>
        </w:rPr>
        <w:t>Internationl,London</w:t>
      </w:r>
      <w:proofErr w:type="spellEnd"/>
      <w:r w:rsidRPr="00FC0576">
        <w:rPr>
          <w:rFonts w:ascii="Arial" w:hAnsi="Arial" w:cs="Arial"/>
          <w:sz w:val="24"/>
        </w:rPr>
        <w:t xml:space="preserve">: </w:t>
      </w:r>
      <w:proofErr w:type="spellStart"/>
      <w:r w:rsidRPr="00FC0576">
        <w:rPr>
          <w:rFonts w:ascii="Arial" w:hAnsi="Arial" w:cs="Arial"/>
          <w:sz w:val="24"/>
        </w:rPr>
        <w:t>Earthscan</w:t>
      </w:r>
      <w:proofErr w:type="spellEnd"/>
      <w:r w:rsidRPr="00FC0576">
        <w:rPr>
          <w:rFonts w:ascii="Arial" w:hAnsi="Arial" w:cs="Arial"/>
          <w:sz w:val="24"/>
        </w:rPr>
        <w:t xml:space="preserve">(Free Post 1,120 </w:t>
      </w:r>
      <w:proofErr w:type="spellStart"/>
      <w:r w:rsidRPr="00FC0576">
        <w:rPr>
          <w:rFonts w:ascii="Arial" w:hAnsi="Arial" w:cs="Arial"/>
          <w:sz w:val="24"/>
        </w:rPr>
        <w:t>Pentonville</w:t>
      </w:r>
      <w:proofErr w:type="spellEnd"/>
      <w:r w:rsidRPr="00FC0576">
        <w:rPr>
          <w:rFonts w:ascii="Arial" w:hAnsi="Arial" w:cs="Arial"/>
          <w:sz w:val="24"/>
        </w:rPr>
        <w:t xml:space="preserve"> </w:t>
      </w:r>
      <w:proofErr w:type="spellStart"/>
      <w:r w:rsidRPr="00FC0576">
        <w:rPr>
          <w:rFonts w:ascii="Arial" w:hAnsi="Arial" w:cs="Arial"/>
          <w:sz w:val="24"/>
        </w:rPr>
        <w:t>Rd,London</w:t>
      </w:r>
      <w:proofErr w:type="spellEnd"/>
      <w:r w:rsidRPr="00FC0576">
        <w:rPr>
          <w:rFonts w:ascii="Arial" w:hAnsi="Arial" w:cs="Arial"/>
          <w:sz w:val="24"/>
        </w:rPr>
        <w:t xml:space="preserve"> N1 </w:t>
      </w:r>
      <w:proofErr w:type="spellStart"/>
      <w:r w:rsidRPr="00FC0576">
        <w:rPr>
          <w:rFonts w:ascii="Arial" w:hAnsi="Arial" w:cs="Arial"/>
          <w:sz w:val="24"/>
        </w:rPr>
        <w:t>qBR</w:t>
      </w:r>
      <w:proofErr w:type="spellEnd"/>
      <w:r w:rsidRPr="00FC0576">
        <w:rPr>
          <w:rFonts w:ascii="Arial" w:hAnsi="Arial" w:cs="Arial"/>
          <w:sz w:val="24"/>
        </w:rPr>
        <w:t>, Fax:+44 171 278 1142</w:t>
      </w:r>
      <w:r w:rsidRPr="00FC0576">
        <w:rPr>
          <w:rFonts w:ascii="Arial" w:hAnsi="Arial" w:cs="Arial"/>
          <w:sz w:val="24"/>
          <w:rtl/>
        </w:rPr>
        <w:t xml:space="preserve">). </w:t>
      </w:r>
    </w:p>
    <w:p w:rsidR="001F1D6F" w:rsidRPr="00FC0576" w:rsidRDefault="001F1D6F" w:rsidP="00FC0576">
      <w:pPr>
        <w:jc w:val="lowKashida"/>
        <w:rPr>
          <w:rFonts w:ascii="Arial" w:hAnsi="Arial" w:cs="Arial"/>
          <w:sz w:val="24"/>
        </w:rPr>
      </w:pPr>
    </w:p>
    <w:sectPr w:rsidR="001F1D6F" w:rsidRPr="00FC0576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1B48"/>
    <w:rsid w:val="00086452"/>
    <w:rsid w:val="001F1D6F"/>
    <w:rsid w:val="0038701D"/>
    <w:rsid w:val="00782517"/>
    <w:rsid w:val="008C5BB4"/>
    <w:rsid w:val="00A31EBC"/>
    <w:rsid w:val="00A32D7D"/>
    <w:rsid w:val="00AA64C5"/>
    <w:rsid w:val="00C61B48"/>
    <w:rsid w:val="00CF4B3E"/>
    <w:rsid w:val="00E84CB9"/>
    <w:rsid w:val="00FC0576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2900</Characters>
  <Application>Microsoft Office Word</Application>
  <DocSecurity>0</DocSecurity>
  <Lines>24</Lines>
  <Paragraphs>6</Paragraphs>
  <ScaleCrop>false</ScaleCrop>
  <Company>NPSoft.ir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2012-01-05T18:11:00Z</dcterms:created>
  <dcterms:modified xsi:type="dcterms:W3CDTF">2012-01-16T17:14:00Z</dcterms:modified>
</cp:coreProperties>
</file>