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66C" w:rsidRPr="006A166C" w:rsidRDefault="006A166C" w:rsidP="00F97985">
      <w:pPr>
        <w:jc w:val="lowKashida"/>
        <w:rPr>
          <w:rFonts w:ascii="Arial" w:hAnsi="Arial" w:cs="Arial"/>
          <w:sz w:val="24"/>
          <w:rtl/>
        </w:rPr>
      </w:pPr>
      <w:r w:rsidRPr="006A166C">
        <w:rPr>
          <w:rFonts w:ascii="Arial" w:hAnsi="Arial" w:cs="Arial" w:hint="cs"/>
          <w:sz w:val="24"/>
          <w:rtl/>
        </w:rPr>
        <w:t>مالیات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بر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اموال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بیمه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گران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انگلیسی</w:t>
      </w:r>
      <w:r w:rsidRPr="006A166C">
        <w:rPr>
          <w:rFonts w:ascii="Arial" w:hAnsi="Arial" w:cs="Arial"/>
          <w:sz w:val="24"/>
          <w:rtl/>
        </w:rPr>
        <w:t xml:space="preserve"> </w:t>
      </w:r>
    </w:p>
    <w:p w:rsidR="006A166C" w:rsidRPr="006A166C" w:rsidRDefault="006A166C" w:rsidP="006A166C">
      <w:pPr>
        <w:jc w:val="lowKashida"/>
        <w:rPr>
          <w:rFonts w:ascii="Arial" w:hAnsi="Arial" w:cs="Arial"/>
          <w:sz w:val="24"/>
          <w:rtl/>
        </w:rPr>
      </w:pPr>
      <w:r w:rsidRPr="006A166C">
        <w:rPr>
          <w:rFonts w:ascii="Arial" w:hAnsi="Arial" w:cs="Arial" w:hint="cs"/>
          <w:sz w:val="24"/>
          <w:rtl/>
        </w:rPr>
        <w:t>واشقانی،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شهناز</w:t>
      </w:r>
    </w:p>
    <w:p w:rsidR="006A166C" w:rsidRDefault="006A166C" w:rsidP="006A166C">
      <w:pPr>
        <w:jc w:val="lowKashida"/>
        <w:rPr>
          <w:rFonts w:ascii="Arial" w:hAnsi="Arial" w:cs="Arial"/>
          <w:sz w:val="24"/>
          <w:rtl/>
        </w:rPr>
      </w:pPr>
    </w:p>
    <w:p w:rsidR="006A166C" w:rsidRPr="006A166C" w:rsidRDefault="006A166C" w:rsidP="006A166C">
      <w:pPr>
        <w:jc w:val="lowKashida"/>
        <w:rPr>
          <w:rFonts w:ascii="Arial" w:hAnsi="Arial" w:cs="Arial"/>
          <w:sz w:val="24"/>
          <w:rtl/>
        </w:rPr>
      </w:pPr>
      <w:r w:rsidRPr="006A166C">
        <w:rPr>
          <w:rFonts w:ascii="Arial" w:hAnsi="Arial" w:cs="Arial" w:hint="cs"/>
          <w:sz w:val="24"/>
          <w:rtl/>
        </w:rPr>
        <w:t>گزارشی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از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بازار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بیمه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ایتالیا</w:t>
      </w:r>
    </w:p>
    <w:p w:rsidR="006A166C" w:rsidRDefault="006A166C" w:rsidP="006A166C">
      <w:pPr>
        <w:jc w:val="lowKashida"/>
        <w:rPr>
          <w:rFonts w:ascii="Arial" w:hAnsi="Arial" w:cs="Arial"/>
          <w:sz w:val="24"/>
          <w:rtl/>
        </w:rPr>
      </w:pPr>
      <w:r w:rsidRPr="006A166C">
        <w:rPr>
          <w:rFonts w:ascii="Arial" w:hAnsi="Arial" w:cs="Arial" w:hint="cs"/>
          <w:sz w:val="24"/>
          <w:rtl/>
        </w:rPr>
        <w:t>سازمان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نظارت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بر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بیمه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رم،آماری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را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مربوط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به‏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مبلغ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حق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بمه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جمع‏آوری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شده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در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طول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شش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ماهه‏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اول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سال</w:t>
      </w:r>
      <w:r w:rsidRPr="006A166C">
        <w:rPr>
          <w:rFonts w:ascii="Arial" w:hAnsi="Arial" w:cs="Arial"/>
          <w:sz w:val="24"/>
          <w:rtl/>
        </w:rPr>
        <w:t xml:space="preserve"> 1998 </w:t>
      </w:r>
      <w:r w:rsidRPr="006A166C">
        <w:rPr>
          <w:rFonts w:ascii="Arial" w:hAnsi="Arial" w:cs="Arial" w:hint="cs"/>
          <w:sz w:val="24"/>
          <w:rtl/>
        </w:rPr>
        <w:t>منتشر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کرده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است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مبلغ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حق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بیمه‏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جمع‏آوری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شده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در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طول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این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مدت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برای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بیمه‏های‏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غیر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اشخاص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با</w:t>
      </w:r>
      <w:r w:rsidRPr="006A166C">
        <w:rPr>
          <w:rFonts w:ascii="Arial" w:hAnsi="Arial" w:cs="Arial"/>
          <w:sz w:val="24"/>
          <w:rtl/>
        </w:rPr>
        <w:t xml:space="preserve"> 8/6 </w:t>
      </w:r>
      <w:r w:rsidRPr="006A166C">
        <w:rPr>
          <w:rFonts w:ascii="Arial" w:hAnsi="Arial" w:cs="Arial" w:hint="cs"/>
          <w:sz w:val="24"/>
          <w:rtl/>
        </w:rPr>
        <w:t>درصد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افزایش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نسبت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به‏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مدت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مشابه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سال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قبل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به</w:t>
      </w:r>
      <w:r w:rsidRPr="006A166C">
        <w:rPr>
          <w:rFonts w:ascii="Arial" w:hAnsi="Arial" w:cs="Arial"/>
          <w:sz w:val="24"/>
          <w:rtl/>
        </w:rPr>
        <w:t xml:space="preserve"> 23222 </w:t>
      </w:r>
      <w:r w:rsidRPr="006A166C">
        <w:rPr>
          <w:rFonts w:ascii="Arial" w:hAnsi="Arial" w:cs="Arial" w:hint="cs"/>
          <w:sz w:val="24"/>
          <w:rtl/>
        </w:rPr>
        <w:t>بیلیون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لیره‏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ایتالیا</w:t>
      </w:r>
      <w:r w:rsidRPr="006A166C">
        <w:rPr>
          <w:rFonts w:ascii="Arial" w:hAnsi="Arial" w:cs="Arial"/>
          <w:sz w:val="24"/>
          <w:rtl/>
        </w:rPr>
        <w:t xml:space="preserve">(1/14 </w:t>
      </w:r>
      <w:r w:rsidRPr="006A166C">
        <w:rPr>
          <w:rFonts w:ascii="Arial" w:hAnsi="Arial" w:cs="Arial" w:hint="cs"/>
          <w:sz w:val="24"/>
          <w:rtl/>
        </w:rPr>
        <w:t>بیلیون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دلار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امریکا</w:t>
      </w:r>
      <w:r w:rsidRPr="006A166C">
        <w:rPr>
          <w:rFonts w:ascii="Arial" w:hAnsi="Arial" w:cs="Arial"/>
          <w:sz w:val="24"/>
          <w:rtl/>
        </w:rPr>
        <w:t>)</w:t>
      </w:r>
      <w:r w:rsidRPr="006A166C">
        <w:rPr>
          <w:rFonts w:ascii="Arial" w:hAnsi="Arial" w:cs="Arial" w:hint="cs"/>
          <w:sz w:val="24"/>
          <w:rtl/>
        </w:rPr>
        <w:t>رسیده‏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است</w:t>
      </w:r>
      <w:r w:rsidRPr="006A166C">
        <w:rPr>
          <w:rFonts w:ascii="Arial" w:hAnsi="Arial" w:cs="Arial"/>
          <w:sz w:val="24"/>
          <w:rtl/>
        </w:rPr>
        <w:t>.</w:t>
      </w:r>
      <w:r w:rsidRPr="006A166C">
        <w:rPr>
          <w:rFonts w:ascii="Arial" w:hAnsi="Arial" w:cs="Arial" w:hint="cs"/>
          <w:sz w:val="24"/>
          <w:rtl/>
        </w:rPr>
        <w:t>برای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بیمه‏های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اشخاص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این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مبلغ</w:t>
      </w:r>
      <w:r w:rsidRPr="006A166C">
        <w:rPr>
          <w:rFonts w:ascii="Arial" w:hAnsi="Arial" w:cs="Arial"/>
          <w:sz w:val="24"/>
          <w:rtl/>
        </w:rPr>
        <w:t xml:space="preserve"> 22729 </w:t>
      </w:r>
      <w:r w:rsidRPr="006A166C">
        <w:rPr>
          <w:rFonts w:ascii="Arial" w:hAnsi="Arial" w:cs="Arial" w:hint="cs"/>
          <w:sz w:val="24"/>
          <w:rtl/>
        </w:rPr>
        <w:t>لیره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ایتالیا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گزارش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شده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است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که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نسبت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به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مدت‏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مشابه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در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سال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گذشته</w:t>
      </w:r>
      <w:r w:rsidRPr="006A166C">
        <w:rPr>
          <w:rFonts w:ascii="Arial" w:hAnsi="Arial" w:cs="Arial"/>
          <w:sz w:val="24"/>
          <w:rtl/>
        </w:rPr>
        <w:t xml:space="preserve"> 1/49 </w:t>
      </w:r>
      <w:r w:rsidRPr="006A166C">
        <w:rPr>
          <w:rFonts w:ascii="Arial" w:hAnsi="Arial" w:cs="Arial" w:hint="cs"/>
          <w:sz w:val="24"/>
          <w:rtl/>
        </w:rPr>
        <w:t>درصد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افزایش‏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نشان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می‏دهد</w:t>
      </w:r>
      <w:r w:rsidRPr="006A166C">
        <w:rPr>
          <w:rFonts w:ascii="Arial" w:hAnsi="Arial" w:cs="Arial"/>
          <w:sz w:val="24"/>
          <w:rtl/>
        </w:rPr>
        <w:t>.</w:t>
      </w:r>
      <w:r w:rsidRPr="006A166C">
        <w:rPr>
          <w:rFonts w:ascii="Arial" w:hAnsi="Arial" w:cs="Arial" w:hint="cs"/>
          <w:sz w:val="24"/>
          <w:rtl/>
        </w:rPr>
        <w:t>در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این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بخش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بانک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و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بیمه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مجددا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بیمه‏ای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مثل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بیمه‏نامه‏هایی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که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دارای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واحد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و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یا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مرتبط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با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شاخص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هستند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بیشترین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نقش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را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در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این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توسعه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داشته‏اند</w:t>
      </w:r>
      <w:r w:rsidRPr="006A166C">
        <w:rPr>
          <w:rFonts w:ascii="Arial" w:hAnsi="Arial" w:cs="Arial"/>
          <w:sz w:val="24"/>
          <w:rtl/>
        </w:rPr>
        <w:t>.</w:t>
      </w:r>
    </w:p>
    <w:p w:rsidR="006A166C" w:rsidRDefault="006A166C" w:rsidP="006A166C">
      <w:pPr>
        <w:jc w:val="lowKashida"/>
        <w:rPr>
          <w:rFonts w:ascii="Arial" w:hAnsi="Arial" w:cs="Arial"/>
          <w:sz w:val="24"/>
          <w:rtl/>
        </w:rPr>
      </w:pPr>
      <w:r w:rsidRPr="006A166C">
        <w:rPr>
          <w:rFonts w:ascii="Arial" w:hAnsi="Arial" w:cs="Arial" w:hint="cs"/>
          <w:sz w:val="24"/>
          <w:rtl/>
        </w:rPr>
        <w:t>بیمه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مسوولیت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شخص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ثالث‏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اتوموبیل</w:t>
      </w:r>
      <w:r w:rsidRPr="006A166C">
        <w:rPr>
          <w:rFonts w:ascii="Arial" w:hAnsi="Arial" w:cs="Arial"/>
          <w:sz w:val="24"/>
          <w:rtl/>
        </w:rPr>
        <w:t xml:space="preserve"> (</w:t>
      </w:r>
      <w:r w:rsidRPr="006A166C">
        <w:rPr>
          <w:rFonts w:ascii="Arial" w:hAnsi="Arial" w:cs="Arial"/>
          <w:sz w:val="24"/>
        </w:rPr>
        <w:t>TPL</w:t>
      </w:r>
      <w:r w:rsidRPr="006A166C">
        <w:rPr>
          <w:rFonts w:ascii="Arial" w:hAnsi="Arial" w:cs="Arial"/>
          <w:sz w:val="24"/>
          <w:rtl/>
        </w:rPr>
        <w:t xml:space="preserve">) </w:t>
      </w:r>
      <w:r w:rsidRPr="006A166C">
        <w:rPr>
          <w:rFonts w:ascii="Arial" w:hAnsi="Arial" w:cs="Arial" w:hint="cs"/>
          <w:sz w:val="24"/>
          <w:rtl/>
        </w:rPr>
        <w:t>نیز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افزایشی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سریعی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داشته‏</w:t>
      </w:r>
      <w:r w:rsidRPr="006A166C">
        <w:rPr>
          <w:rFonts w:ascii="Arial" w:hAnsi="Arial" w:cs="Arial"/>
          <w:sz w:val="24"/>
          <w:rtl/>
        </w:rPr>
        <w:t xml:space="preserve"> (</w:t>
      </w:r>
      <w:r w:rsidRPr="006A166C">
        <w:rPr>
          <w:rFonts w:ascii="Arial" w:hAnsi="Arial" w:cs="Arial" w:hint="cs"/>
          <w:sz w:val="24"/>
          <w:rtl/>
        </w:rPr>
        <w:t>حدود</w:t>
      </w:r>
      <w:r w:rsidRPr="006A166C">
        <w:rPr>
          <w:rFonts w:ascii="Arial" w:hAnsi="Arial" w:cs="Arial"/>
          <w:sz w:val="24"/>
          <w:rtl/>
        </w:rPr>
        <w:t xml:space="preserve"> 8 </w:t>
      </w:r>
      <w:r w:rsidRPr="006A166C">
        <w:rPr>
          <w:rFonts w:ascii="Arial" w:hAnsi="Arial" w:cs="Arial" w:hint="cs"/>
          <w:sz w:val="24"/>
          <w:rtl/>
        </w:rPr>
        <w:t>درصد</w:t>
      </w:r>
      <w:r w:rsidRPr="006A166C">
        <w:rPr>
          <w:rFonts w:ascii="Arial" w:hAnsi="Arial" w:cs="Arial"/>
          <w:sz w:val="24"/>
          <w:rtl/>
        </w:rPr>
        <w:t>)</w:t>
      </w:r>
      <w:r w:rsidRPr="006A166C">
        <w:rPr>
          <w:rFonts w:ascii="Arial" w:hAnsi="Arial" w:cs="Arial" w:hint="cs"/>
          <w:sz w:val="24"/>
          <w:rtl/>
        </w:rPr>
        <w:t>،همان‏طور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که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بیمه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مسوولیت‏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رشد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زیادی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داشته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است</w:t>
      </w:r>
      <w:r w:rsidRPr="006A166C">
        <w:rPr>
          <w:rFonts w:ascii="Arial" w:hAnsi="Arial" w:cs="Arial"/>
          <w:sz w:val="24"/>
          <w:rtl/>
        </w:rPr>
        <w:t>(</w:t>
      </w:r>
      <w:r w:rsidRPr="006A166C">
        <w:rPr>
          <w:rFonts w:ascii="Arial" w:hAnsi="Arial" w:cs="Arial" w:hint="cs"/>
          <w:sz w:val="24"/>
          <w:rtl/>
        </w:rPr>
        <w:t>حدود</w:t>
      </w:r>
      <w:r w:rsidRPr="006A166C">
        <w:rPr>
          <w:rFonts w:ascii="Arial" w:hAnsi="Arial" w:cs="Arial"/>
          <w:sz w:val="24"/>
          <w:rtl/>
        </w:rPr>
        <w:t xml:space="preserve"> 3/8 </w:t>
      </w:r>
      <w:r w:rsidRPr="006A166C">
        <w:rPr>
          <w:rFonts w:ascii="Arial" w:hAnsi="Arial" w:cs="Arial" w:hint="cs"/>
          <w:sz w:val="24"/>
          <w:rtl/>
        </w:rPr>
        <w:t>درصد</w:t>
      </w:r>
      <w:r w:rsidRPr="006A166C">
        <w:rPr>
          <w:rFonts w:ascii="Arial" w:hAnsi="Arial" w:cs="Arial"/>
          <w:sz w:val="24"/>
          <w:rtl/>
        </w:rPr>
        <w:t>)</w:t>
      </w:r>
      <w:r w:rsidRPr="006A166C">
        <w:rPr>
          <w:rFonts w:ascii="Arial" w:hAnsi="Arial" w:cs="Arial" w:hint="cs"/>
          <w:sz w:val="24"/>
          <w:rtl/>
        </w:rPr>
        <w:t>،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هزینه‏های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درمانی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نیز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برای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اولین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بار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در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طول‏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چندین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سال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کاهش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محدودی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را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نشان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داده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است‏</w:t>
      </w:r>
      <w:r w:rsidRPr="006A166C">
        <w:rPr>
          <w:rFonts w:ascii="Arial" w:hAnsi="Arial" w:cs="Arial"/>
          <w:sz w:val="24"/>
          <w:rtl/>
        </w:rPr>
        <w:t xml:space="preserve"> (7 </w:t>
      </w:r>
      <w:r w:rsidRPr="006A166C">
        <w:rPr>
          <w:rFonts w:ascii="Arial" w:hAnsi="Arial" w:cs="Arial" w:hint="cs"/>
          <w:sz w:val="24"/>
          <w:rtl/>
        </w:rPr>
        <w:t>درصد</w:t>
      </w:r>
      <w:r w:rsidRPr="006A166C">
        <w:rPr>
          <w:rFonts w:ascii="Arial" w:hAnsi="Arial" w:cs="Arial"/>
          <w:sz w:val="24"/>
          <w:rtl/>
        </w:rPr>
        <w:t>).</w:t>
      </w:r>
      <w:r w:rsidRPr="006A166C">
        <w:rPr>
          <w:rFonts w:ascii="Arial" w:hAnsi="Arial" w:cs="Arial" w:hint="cs"/>
          <w:sz w:val="24"/>
          <w:rtl/>
        </w:rPr>
        <w:t>این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روند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را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شرکت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اسیکورازیونی‏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جنرالی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شهر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تریست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در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طول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شش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ماه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گزارش‏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کرده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است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که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در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طی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آن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برای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مبلغ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حق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بیمه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رشدی‏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معادل</w:t>
      </w:r>
      <w:r w:rsidRPr="006A166C">
        <w:rPr>
          <w:rFonts w:ascii="Arial" w:hAnsi="Arial" w:cs="Arial"/>
          <w:sz w:val="24"/>
          <w:rtl/>
        </w:rPr>
        <w:t xml:space="preserve"> 2/49 </w:t>
      </w:r>
      <w:r w:rsidRPr="006A166C">
        <w:rPr>
          <w:rFonts w:ascii="Arial" w:hAnsi="Arial" w:cs="Arial" w:hint="cs"/>
          <w:sz w:val="24"/>
          <w:rtl/>
        </w:rPr>
        <w:t>درصد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و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سود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قبل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از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مالیات‏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رشدی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در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حدود</w:t>
      </w:r>
      <w:r w:rsidRPr="006A166C">
        <w:rPr>
          <w:rFonts w:ascii="Arial" w:hAnsi="Arial" w:cs="Arial"/>
          <w:sz w:val="24"/>
          <w:rtl/>
        </w:rPr>
        <w:t xml:space="preserve"> 5/27 </w:t>
      </w:r>
      <w:r w:rsidRPr="006A166C">
        <w:rPr>
          <w:rFonts w:ascii="Arial" w:hAnsi="Arial" w:cs="Arial" w:hint="cs"/>
          <w:sz w:val="24"/>
          <w:rtl/>
        </w:rPr>
        <w:t>درصد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ذکر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کرده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است</w:t>
      </w:r>
      <w:r w:rsidRPr="006A166C">
        <w:rPr>
          <w:rFonts w:ascii="Arial" w:hAnsi="Arial" w:cs="Arial"/>
          <w:sz w:val="24"/>
          <w:rtl/>
        </w:rPr>
        <w:t>.</w:t>
      </w:r>
      <w:r w:rsidRPr="006A166C">
        <w:rPr>
          <w:rFonts w:ascii="Arial" w:hAnsi="Arial" w:cs="Arial" w:hint="cs"/>
          <w:sz w:val="24"/>
          <w:rtl/>
        </w:rPr>
        <w:t>به‏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همین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صورت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سای</w:t>
      </w:r>
      <w:r w:rsidRPr="006A166C">
        <w:rPr>
          <w:rFonts w:ascii="Arial" w:hAnsi="Arial" w:cs="Arial"/>
          <w:sz w:val="24"/>
          <w:rtl/>
        </w:rPr>
        <w:t xml:space="preserve"> (</w:t>
      </w:r>
      <w:r w:rsidRPr="006A166C">
        <w:rPr>
          <w:rFonts w:ascii="Arial" w:hAnsi="Arial" w:cs="Arial"/>
          <w:sz w:val="24"/>
        </w:rPr>
        <w:t>SAI</w:t>
      </w:r>
      <w:r w:rsidRPr="006A166C">
        <w:rPr>
          <w:rFonts w:ascii="Arial" w:hAnsi="Arial" w:cs="Arial"/>
          <w:sz w:val="24"/>
          <w:rtl/>
        </w:rPr>
        <w:t xml:space="preserve">) </w:t>
      </w:r>
      <w:r w:rsidRPr="006A166C">
        <w:rPr>
          <w:rFonts w:ascii="Arial" w:hAnsi="Arial" w:cs="Arial" w:hint="cs"/>
          <w:sz w:val="24"/>
          <w:rtl/>
        </w:rPr>
        <w:t>از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شهر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تورین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رشد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حق‏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بیمه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جمع‏آوری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شده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این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شرکت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را</w:t>
      </w:r>
      <w:r w:rsidRPr="006A166C">
        <w:rPr>
          <w:rFonts w:ascii="Arial" w:hAnsi="Arial" w:cs="Arial"/>
          <w:sz w:val="24"/>
          <w:rtl/>
        </w:rPr>
        <w:t xml:space="preserve"> 5/12 </w:t>
      </w:r>
      <w:r w:rsidRPr="006A166C">
        <w:rPr>
          <w:rFonts w:ascii="Arial" w:hAnsi="Arial" w:cs="Arial" w:hint="cs"/>
          <w:sz w:val="24"/>
          <w:rtl/>
        </w:rPr>
        <w:t>درصد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گزارش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کرده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و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هم‏چنین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راس</w:t>
      </w:r>
      <w:r w:rsidRPr="006A166C">
        <w:rPr>
          <w:rFonts w:ascii="Arial" w:hAnsi="Arial" w:cs="Arial"/>
          <w:sz w:val="24"/>
          <w:rtl/>
        </w:rPr>
        <w:t xml:space="preserve"> (</w:t>
      </w:r>
      <w:r w:rsidRPr="006A166C">
        <w:rPr>
          <w:rFonts w:ascii="Arial" w:hAnsi="Arial" w:cs="Arial"/>
          <w:sz w:val="24"/>
        </w:rPr>
        <w:t>RAS</w:t>
      </w:r>
      <w:r w:rsidRPr="006A166C">
        <w:rPr>
          <w:rFonts w:ascii="Arial" w:hAnsi="Arial" w:cs="Arial"/>
          <w:sz w:val="24"/>
          <w:rtl/>
        </w:rPr>
        <w:t xml:space="preserve">) </w:t>
      </w:r>
      <w:r w:rsidRPr="006A166C">
        <w:rPr>
          <w:rFonts w:ascii="Arial" w:hAnsi="Arial" w:cs="Arial" w:hint="cs"/>
          <w:sz w:val="24"/>
          <w:rtl/>
        </w:rPr>
        <w:t>از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شهر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میلان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این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رشد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را</w:t>
      </w:r>
      <w:r w:rsidRPr="006A166C">
        <w:rPr>
          <w:rFonts w:ascii="Arial" w:hAnsi="Arial" w:cs="Arial"/>
          <w:sz w:val="24"/>
          <w:rtl/>
        </w:rPr>
        <w:t xml:space="preserve"> 8/8 </w:t>
      </w:r>
      <w:r w:rsidRPr="006A166C">
        <w:rPr>
          <w:rFonts w:ascii="Arial" w:hAnsi="Arial" w:cs="Arial" w:hint="cs"/>
          <w:sz w:val="24"/>
          <w:rtl/>
        </w:rPr>
        <w:t>درصد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گزارش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کرده‏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است</w:t>
      </w:r>
      <w:r w:rsidRPr="006A166C">
        <w:rPr>
          <w:rFonts w:ascii="Arial" w:hAnsi="Arial" w:cs="Arial"/>
          <w:sz w:val="24"/>
          <w:rtl/>
        </w:rPr>
        <w:t>.</w:t>
      </w:r>
    </w:p>
    <w:p w:rsidR="006A166C" w:rsidRDefault="006A166C" w:rsidP="006A166C">
      <w:pPr>
        <w:jc w:val="lowKashida"/>
        <w:rPr>
          <w:rFonts w:ascii="Arial" w:hAnsi="Arial" w:cs="Arial"/>
          <w:sz w:val="24"/>
          <w:rtl/>
        </w:rPr>
      </w:pPr>
      <w:r w:rsidRPr="006A166C">
        <w:rPr>
          <w:rFonts w:ascii="Arial" w:hAnsi="Arial" w:cs="Arial" w:hint="cs"/>
          <w:sz w:val="24"/>
          <w:rtl/>
        </w:rPr>
        <w:t>این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ارقام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نشان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می‏دهد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که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شرکت‏های‏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بزرگ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با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نشان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دادن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عملکرد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مثبت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در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رشته‏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بیمه‏های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اشخاص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سعی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در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خنثی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کردن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روند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کاهشی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در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بیمه‏های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غیر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اشخاص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دارند</w:t>
      </w:r>
      <w:r w:rsidRPr="006A166C">
        <w:rPr>
          <w:rFonts w:ascii="Arial" w:hAnsi="Arial" w:cs="Arial"/>
          <w:sz w:val="24"/>
          <w:rtl/>
        </w:rPr>
        <w:t>.</w:t>
      </w:r>
      <w:r w:rsidRPr="006A166C">
        <w:rPr>
          <w:rFonts w:ascii="Arial" w:hAnsi="Arial" w:cs="Arial" w:hint="cs"/>
          <w:sz w:val="24"/>
          <w:rtl/>
        </w:rPr>
        <w:t>البته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در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مورد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رشته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اتوموبیل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هنوز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هم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نگرانی‏هایی‏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وجود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دارد</w:t>
      </w:r>
      <w:r w:rsidRPr="006A166C">
        <w:rPr>
          <w:rFonts w:ascii="Arial" w:hAnsi="Arial" w:cs="Arial"/>
          <w:sz w:val="24"/>
          <w:rtl/>
        </w:rPr>
        <w:t>.</w:t>
      </w:r>
      <w:r w:rsidRPr="006A166C">
        <w:rPr>
          <w:rFonts w:ascii="Arial" w:hAnsi="Arial" w:cs="Arial" w:hint="cs"/>
          <w:sz w:val="24"/>
          <w:rtl/>
        </w:rPr>
        <w:t>ولی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انتظار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می‏رود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که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با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ایجاد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رقابت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در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بازار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و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اخیرا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وضع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قوانین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جدید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به‏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وسیله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/>
          <w:sz w:val="24"/>
        </w:rPr>
        <w:t>SVAP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برای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تنظیم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خسارت‏های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ناشی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از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صدمات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شخصی،ممکن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است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که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رشته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مذکور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را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در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وضعیت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بهتری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قرار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دهد؛رشته‏ای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که</w:t>
      </w:r>
      <w:r w:rsidRPr="006A166C">
        <w:rPr>
          <w:rFonts w:ascii="Arial" w:hAnsi="Arial" w:cs="Arial"/>
          <w:sz w:val="24"/>
          <w:rtl/>
        </w:rPr>
        <w:t xml:space="preserve"> 30 </w:t>
      </w:r>
      <w:r w:rsidRPr="006A166C">
        <w:rPr>
          <w:rFonts w:ascii="Arial" w:hAnsi="Arial" w:cs="Arial" w:hint="cs"/>
          <w:sz w:val="24"/>
          <w:rtl/>
        </w:rPr>
        <w:t>درصد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از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کل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بیمه‏های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معامله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شده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در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بازار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را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تشکیل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می‏دهد</w:t>
      </w:r>
      <w:r w:rsidRPr="006A166C">
        <w:rPr>
          <w:rFonts w:ascii="Arial" w:hAnsi="Arial" w:cs="Arial"/>
          <w:sz w:val="24"/>
          <w:rtl/>
        </w:rPr>
        <w:t>.</w:t>
      </w:r>
    </w:p>
    <w:p w:rsidR="006A166C" w:rsidRDefault="006A166C" w:rsidP="006A166C">
      <w:pPr>
        <w:jc w:val="lowKashida"/>
        <w:rPr>
          <w:rFonts w:ascii="Arial" w:hAnsi="Arial" w:cs="Arial"/>
          <w:sz w:val="24"/>
          <w:rtl/>
        </w:rPr>
      </w:pPr>
      <w:r w:rsidRPr="006A166C">
        <w:rPr>
          <w:rFonts w:ascii="Arial" w:hAnsi="Arial" w:cs="Arial" w:hint="cs"/>
          <w:sz w:val="24"/>
          <w:rtl/>
        </w:rPr>
        <w:t>مترجم</w:t>
      </w:r>
      <w:r w:rsidRPr="006A166C">
        <w:rPr>
          <w:rFonts w:ascii="Arial" w:hAnsi="Arial" w:cs="Arial"/>
          <w:sz w:val="24"/>
          <w:rtl/>
        </w:rPr>
        <w:t>:</w:t>
      </w:r>
      <w:r w:rsidRPr="006A166C">
        <w:rPr>
          <w:rFonts w:ascii="Arial" w:hAnsi="Arial" w:cs="Arial" w:hint="cs"/>
          <w:sz w:val="24"/>
          <w:rtl/>
        </w:rPr>
        <w:t>شهناز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واشقانی</w:t>
      </w:r>
    </w:p>
    <w:p w:rsidR="006A166C" w:rsidRDefault="006A166C" w:rsidP="006A166C">
      <w:pPr>
        <w:jc w:val="lowKashida"/>
        <w:rPr>
          <w:rFonts w:ascii="Arial" w:hAnsi="Arial" w:cs="Arial"/>
          <w:sz w:val="24"/>
          <w:rtl/>
        </w:rPr>
      </w:pPr>
      <w:r w:rsidRPr="006A166C">
        <w:rPr>
          <w:rFonts w:ascii="Arial" w:hAnsi="Arial" w:cs="Arial" w:hint="cs"/>
          <w:sz w:val="24"/>
          <w:rtl/>
        </w:rPr>
        <w:t>منبع</w:t>
      </w:r>
      <w:r w:rsidRPr="006A166C">
        <w:rPr>
          <w:rFonts w:ascii="Arial" w:hAnsi="Arial" w:cs="Arial"/>
          <w:sz w:val="24"/>
          <w:rtl/>
        </w:rPr>
        <w:t xml:space="preserve">: </w:t>
      </w:r>
      <w:r w:rsidRPr="006A166C">
        <w:rPr>
          <w:rFonts w:ascii="Arial" w:hAnsi="Arial" w:cs="Arial"/>
          <w:sz w:val="24"/>
        </w:rPr>
        <w:t>WIR597,2.10.98,PP.6-7</w:t>
      </w:r>
      <w:r w:rsidRPr="006A166C">
        <w:rPr>
          <w:rFonts w:ascii="Arial" w:hAnsi="Arial" w:cs="Arial"/>
          <w:sz w:val="24"/>
          <w:rtl/>
        </w:rPr>
        <w:t xml:space="preserve">. </w:t>
      </w:r>
    </w:p>
    <w:p w:rsidR="006A166C" w:rsidRPr="006A166C" w:rsidRDefault="006A166C" w:rsidP="006A166C">
      <w:pPr>
        <w:jc w:val="lowKashida"/>
        <w:rPr>
          <w:rFonts w:ascii="Arial" w:hAnsi="Arial" w:cs="Arial"/>
          <w:sz w:val="24"/>
          <w:rtl/>
        </w:rPr>
      </w:pPr>
      <w:r w:rsidRPr="006A166C">
        <w:rPr>
          <w:rFonts w:ascii="Arial" w:hAnsi="Arial" w:cs="Arial" w:hint="cs"/>
          <w:sz w:val="24"/>
          <w:rtl/>
        </w:rPr>
        <w:t>مالیات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بر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اموال‏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بیمه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گران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انگلیسی</w:t>
      </w:r>
    </w:p>
    <w:p w:rsidR="006A166C" w:rsidRDefault="006A166C" w:rsidP="00F97985">
      <w:pPr>
        <w:jc w:val="lowKashida"/>
        <w:rPr>
          <w:rFonts w:ascii="Arial" w:hAnsi="Arial" w:cs="Arial"/>
          <w:sz w:val="24"/>
          <w:rtl/>
        </w:rPr>
      </w:pPr>
      <w:r w:rsidRPr="006A166C">
        <w:rPr>
          <w:rFonts w:ascii="Arial" w:hAnsi="Arial" w:cs="Arial" w:hint="cs"/>
          <w:sz w:val="24"/>
          <w:rtl/>
        </w:rPr>
        <w:t>داستان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دنباله‏دار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تعهدات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اموال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موسسه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بیمه‏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گران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لندن</w:t>
      </w:r>
      <w:r w:rsidRPr="006A166C">
        <w:rPr>
          <w:rFonts w:ascii="Arial" w:hAnsi="Arial" w:cs="Arial"/>
          <w:sz w:val="24"/>
          <w:rtl/>
        </w:rPr>
        <w:t xml:space="preserve"> (</w:t>
      </w:r>
      <w:r w:rsidRPr="006A166C">
        <w:rPr>
          <w:rFonts w:ascii="Arial" w:hAnsi="Arial" w:cs="Arial"/>
          <w:sz w:val="24"/>
        </w:rPr>
        <w:t>ILU</w:t>
      </w:r>
      <w:r w:rsidRPr="006A166C">
        <w:rPr>
          <w:rFonts w:ascii="Arial" w:hAnsi="Arial" w:cs="Arial"/>
          <w:sz w:val="24"/>
          <w:rtl/>
        </w:rPr>
        <w:t xml:space="preserve">) </w:t>
      </w:r>
      <w:r w:rsidRPr="006A166C">
        <w:rPr>
          <w:rFonts w:ascii="Arial" w:hAnsi="Arial" w:cs="Arial" w:hint="cs"/>
          <w:sz w:val="24"/>
          <w:rtl/>
        </w:rPr>
        <w:t>که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مانع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از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الحاق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این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موسسه‏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به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اتحاد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بازار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بیمه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و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بیمه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اتکایی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بین‏المللی</w:t>
      </w:r>
      <w:r w:rsidR="00F97985">
        <w:rPr>
          <w:rFonts w:ascii="Arial" w:hAnsi="Arial" w:cs="Arial" w:hint="cs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لندن</w:t>
      </w:r>
      <w:r w:rsidRPr="006A166C">
        <w:rPr>
          <w:rFonts w:ascii="Arial" w:hAnsi="Arial" w:cs="Arial"/>
          <w:sz w:val="24"/>
          <w:rtl/>
        </w:rPr>
        <w:t xml:space="preserve"> (</w:t>
      </w:r>
      <w:r w:rsidRPr="006A166C">
        <w:rPr>
          <w:rFonts w:ascii="Arial" w:hAnsi="Arial" w:cs="Arial"/>
          <w:sz w:val="24"/>
        </w:rPr>
        <w:t>LIRMA</w:t>
      </w:r>
      <w:r w:rsidRPr="006A166C">
        <w:rPr>
          <w:rFonts w:ascii="Arial" w:hAnsi="Arial" w:cs="Arial"/>
          <w:sz w:val="24"/>
          <w:rtl/>
        </w:rPr>
        <w:t xml:space="preserve">) </w:t>
      </w:r>
      <w:r w:rsidRPr="006A166C">
        <w:rPr>
          <w:rFonts w:ascii="Arial" w:hAnsi="Arial" w:cs="Arial" w:hint="cs"/>
          <w:sz w:val="24"/>
          <w:rtl/>
        </w:rPr>
        <w:t>شده،ممکن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است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اکنون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در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آستانه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نتیجه‏گیری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باشد</w:t>
      </w:r>
      <w:r w:rsidRPr="006A166C">
        <w:rPr>
          <w:rFonts w:ascii="Arial" w:hAnsi="Arial" w:cs="Arial"/>
          <w:sz w:val="24"/>
          <w:rtl/>
        </w:rPr>
        <w:t>.</w:t>
      </w:r>
      <w:r w:rsidRPr="006A166C">
        <w:rPr>
          <w:rFonts w:ascii="Arial" w:hAnsi="Arial" w:cs="Arial" w:hint="cs"/>
          <w:sz w:val="24"/>
          <w:rtl/>
        </w:rPr>
        <w:t>با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وجود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مقادیر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قابل‏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توجه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تعهدات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این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موسسه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که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حدود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پنجاه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و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پنج‏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میلیون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پوند</w:t>
      </w:r>
      <w:r w:rsidRPr="006A166C">
        <w:rPr>
          <w:rFonts w:ascii="Arial" w:hAnsi="Arial" w:cs="Arial"/>
          <w:sz w:val="24"/>
          <w:rtl/>
        </w:rPr>
        <w:t xml:space="preserve">(7/92 </w:t>
      </w:r>
      <w:r w:rsidRPr="006A166C">
        <w:rPr>
          <w:rFonts w:ascii="Arial" w:hAnsi="Arial" w:cs="Arial" w:hint="cs"/>
          <w:sz w:val="24"/>
          <w:rtl/>
        </w:rPr>
        <w:t>میلیون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دلار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آمریکا</w:t>
      </w:r>
      <w:r w:rsidRPr="006A166C">
        <w:rPr>
          <w:rFonts w:ascii="Arial" w:hAnsi="Arial" w:cs="Arial"/>
          <w:sz w:val="24"/>
          <w:rtl/>
        </w:rPr>
        <w:t xml:space="preserve">) </w:t>
      </w:r>
      <w:r w:rsidRPr="006A166C">
        <w:rPr>
          <w:rFonts w:ascii="Arial" w:hAnsi="Arial" w:cs="Arial" w:hint="cs"/>
          <w:sz w:val="24"/>
          <w:rtl/>
        </w:rPr>
        <w:t>گزارش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شده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است،</w:t>
      </w:r>
      <w:r w:rsidRPr="006A166C">
        <w:rPr>
          <w:rFonts w:ascii="Arial" w:hAnsi="Arial" w:cs="Arial"/>
          <w:sz w:val="24"/>
          <w:rtl/>
        </w:rPr>
        <w:t xml:space="preserve"> (</w:t>
      </w:r>
      <w:r w:rsidRPr="006A166C">
        <w:rPr>
          <w:rFonts w:ascii="Arial" w:hAnsi="Arial" w:cs="Arial"/>
          <w:sz w:val="24"/>
        </w:rPr>
        <w:t>ILU</w:t>
      </w:r>
      <w:r w:rsidRPr="006A166C">
        <w:rPr>
          <w:rFonts w:ascii="Arial" w:hAnsi="Arial" w:cs="Arial"/>
          <w:sz w:val="24"/>
          <w:rtl/>
        </w:rPr>
        <w:t xml:space="preserve">) </w:t>
      </w:r>
      <w:r w:rsidRPr="006A166C">
        <w:rPr>
          <w:rFonts w:ascii="Arial" w:hAnsi="Arial" w:cs="Arial" w:hint="cs"/>
          <w:sz w:val="24"/>
          <w:rtl/>
        </w:rPr>
        <w:t>درصدد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اخذ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مالیات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از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اعضایش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است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تا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امکان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ملحق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شدن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به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اتحادیه‏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مذکور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را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داشته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باشد</w:t>
      </w:r>
      <w:r w:rsidRPr="006A166C">
        <w:rPr>
          <w:rFonts w:ascii="Arial" w:hAnsi="Arial" w:cs="Arial"/>
          <w:sz w:val="24"/>
          <w:rtl/>
        </w:rPr>
        <w:t>.</w:t>
      </w:r>
      <w:r w:rsidRPr="006A166C">
        <w:rPr>
          <w:rFonts w:ascii="Arial" w:hAnsi="Arial" w:cs="Arial" w:hint="cs"/>
          <w:sz w:val="24"/>
          <w:rtl/>
        </w:rPr>
        <w:t>اگرچه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هنوز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پاسخ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روشنی‏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در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مورد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چگونگی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تامین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وجوه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لازم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برای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این‏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موسسه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داده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نشده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و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ملاقات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با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مقامات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بانک‏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ها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در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جریان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است</w:t>
      </w:r>
      <w:r w:rsidRPr="006A166C">
        <w:rPr>
          <w:rFonts w:ascii="Arial" w:hAnsi="Arial" w:cs="Arial"/>
          <w:sz w:val="24"/>
          <w:rtl/>
        </w:rPr>
        <w:t>.</w:t>
      </w:r>
      <w:r w:rsidRPr="006A166C">
        <w:rPr>
          <w:rFonts w:ascii="Arial" w:hAnsi="Arial" w:cs="Arial" w:hint="cs"/>
          <w:sz w:val="24"/>
          <w:rtl/>
        </w:rPr>
        <w:t>تونی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فانل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یکی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از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اعضای‏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هیات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/>
          <w:sz w:val="24"/>
        </w:rPr>
        <w:t>ILU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خاطر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نشان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ساخته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است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که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استفاده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از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اعتبارات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اسنادی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محتمل‏ترین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راه‏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به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نظر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می‏رسد</w:t>
      </w:r>
      <w:r w:rsidRPr="006A166C">
        <w:rPr>
          <w:rFonts w:ascii="Arial" w:hAnsi="Arial" w:cs="Arial"/>
          <w:sz w:val="24"/>
          <w:rtl/>
        </w:rPr>
        <w:t>.</w:t>
      </w:r>
    </w:p>
    <w:p w:rsidR="006A166C" w:rsidRDefault="006A166C" w:rsidP="006A166C">
      <w:pPr>
        <w:jc w:val="lowKashida"/>
        <w:rPr>
          <w:rFonts w:ascii="Arial" w:hAnsi="Arial" w:cs="Arial"/>
          <w:sz w:val="24"/>
          <w:rtl/>
        </w:rPr>
      </w:pPr>
      <w:r w:rsidRPr="006A166C">
        <w:rPr>
          <w:rFonts w:ascii="Arial" w:hAnsi="Arial" w:cs="Arial" w:hint="cs"/>
          <w:sz w:val="24"/>
          <w:rtl/>
        </w:rPr>
        <w:t>مترجم</w:t>
      </w:r>
      <w:r w:rsidRPr="006A166C">
        <w:rPr>
          <w:rFonts w:ascii="Arial" w:hAnsi="Arial" w:cs="Arial"/>
          <w:sz w:val="24"/>
          <w:rtl/>
        </w:rPr>
        <w:t>:</w:t>
      </w:r>
      <w:r w:rsidRPr="006A166C">
        <w:rPr>
          <w:rFonts w:ascii="Arial" w:hAnsi="Arial" w:cs="Arial" w:hint="cs"/>
          <w:sz w:val="24"/>
          <w:rtl/>
        </w:rPr>
        <w:t>شهناز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واشقانی</w:t>
      </w:r>
    </w:p>
    <w:p w:rsidR="006A166C" w:rsidRDefault="006A166C" w:rsidP="006A166C">
      <w:pPr>
        <w:jc w:val="lowKashida"/>
        <w:rPr>
          <w:rFonts w:ascii="Arial" w:hAnsi="Arial" w:cs="Arial"/>
          <w:sz w:val="24"/>
          <w:rtl/>
        </w:rPr>
      </w:pPr>
      <w:r w:rsidRPr="006A166C">
        <w:rPr>
          <w:rFonts w:ascii="Arial" w:hAnsi="Arial" w:cs="Arial" w:hint="cs"/>
          <w:sz w:val="24"/>
          <w:rtl/>
        </w:rPr>
        <w:t>منبع</w:t>
      </w:r>
      <w:r w:rsidRPr="006A166C">
        <w:rPr>
          <w:rFonts w:ascii="Arial" w:hAnsi="Arial" w:cs="Arial"/>
          <w:sz w:val="24"/>
          <w:rtl/>
        </w:rPr>
        <w:t xml:space="preserve">: </w:t>
      </w:r>
      <w:r w:rsidRPr="006A166C">
        <w:rPr>
          <w:rFonts w:ascii="Arial" w:hAnsi="Arial" w:cs="Arial"/>
          <w:sz w:val="24"/>
        </w:rPr>
        <w:t>WIR597,2.10.98,P.6</w:t>
      </w:r>
      <w:r w:rsidRPr="006A166C">
        <w:rPr>
          <w:rFonts w:ascii="Arial" w:hAnsi="Arial" w:cs="Arial"/>
          <w:sz w:val="24"/>
          <w:rtl/>
        </w:rPr>
        <w:t xml:space="preserve">. </w:t>
      </w:r>
    </w:p>
    <w:p w:rsidR="006A166C" w:rsidRPr="006A166C" w:rsidRDefault="006A166C" w:rsidP="006A166C">
      <w:pPr>
        <w:jc w:val="lowKashida"/>
        <w:rPr>
          <w:rFonts w:ascii="Arial" w:hAnsi="Arial" w:cs="Arial"/>
          <w:sz w:val="24"/>
          <w:rtl/>
        </w:rPr>
      </w:pPr>
      <w:r w:rsidRPr="006A166C">
        <w:rPr>
          <w:rFonts w:ascii="Arial" w:hAnsi="Arial" w:cs="Arial" w:hint="cs"/>
          <w:sz w:val="24"/>
          <w:rtl/>
        </w:rPr>
        <w:t>چکیده‏ها</w:t>
      </w:r>
    </w:p>
    <w:p w:rsidR="006A166C" w:rsidRDefault="006A166C" w:rsidP="006A166C">
      <w:pPr>
        <w:jc w:val="lowKashida"/>
        <w:rPr>
          <w:rFonts w:ascii="Arial" w:hAnsi="Arial" w:cs="Arial"/>
          <w:sz w:val="24"/>
        </w:rPr>
      </w:pPr>
      <w:proofErr w:type="spellStart"/>
      <w:r w:rsidRPr="006A166C">
        <w:rPr>
          <w:rFonts w:ascii="Arial" w:hAnsi="Arial" w:cs="Arial"/>
          <w:sz w:val="24"/>
        </w:rPr>
        <w:t>Bannister</w:t>
      </w:r>
      <w:proofErr w:type="gramStart"/>
      <w:r w:rsidRPr="006A166C">
        <w:rPr>
          <w:rFonts w:ascii="Arial" w:hAnsi="Arial" w:cs="Arial"/>
          <w:sz w:val="24"/>
        </w:rPr>
        <w:t>,J.Insurance</w:t>
      </w:r>
      <w:proofErr w:type="spellEnd"/>
      <w:proofErr w:type="gramEnd"/>
      <w:r w:rsidRPr="006A166C">
        <w:rPr>
          <w:rFonts w:ascii="Arial" w:hAnsi="Arial" w:cs="Arial"/>
          <w:sz w:val="24"/>
        </w:rPr>
        <w:t xml:space="preserve"> Solvency </w:t>
      </w:r>
      <w:proofErr w:type="spellStart"/>
      <w:r w:rsidRPr="006A166C">
        <w:rPr>
          <w:rFonts w:ascii="Arial" w:hAnsi="Arial" w:cs="Arial"/>
          <w:sz w:val="24"/>
        </w:rPr>
        <w:t>Analysis,LLP,Landon</w:t>
      </w:r>
      <w:proofErr w:type="spellEnd"/>
      <w:r w:rsidRPr="006A166C">
        <w:rPr>
          <w:rFonts w:ascii="Arial" w:hAnsi="Arial" w:cs="Arial"/>
          <w:sz w:val="24"/>
        </w:rPr>
        <w:t>, 1999.ISBN 1-85978-565-4</w:t>
      </w:r>
      <w:r w:rsidRPr="006A166C">
        <w:rPr>
          <w:rFonts w:ascii="Arial" w:hAnsi="Arial" w:cs="Arial"/>
          <w:sz w:val="24"/>
          <w:rtl/>
        </w:rPr>
        <w:t xml:space="preserve"> </w:t>
      </w:r>
    </w:p>
    <w:p w:rsidR="006A166C" w:rsidRDefault="006A166C" w:rsidP="006A166C">
      <w:pPr>
        <w:jc w:val="lowKashida"/>
        <w:rPr>
          <w:rFonts w:ascii="Arial" w:hAnsi="Arial" w:cs="Arial"/>
          <w:sz w:val="24"/>
          <w:rtl/>
        </w:rPr>
      </w:pPr>
      <w:r w:rsidRPr="006A166C">
        <w:rPr>
          <w:rFonts w:ascii="Arial" w:hAnsi="Arial" w:cs="Arial" w:hint="cs"/>
          <w:sz w:val="24"/>
          <w:rtl/>
        </w:rPr>
        <w:t>تحلیل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توان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پرداخت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تعهدات‏</w:t>
      </w:r>
      <w:r w:rsidRPr="006A166C">
        <w:rPr>
          <w:rFonts w:ascii="Arial" w:hAnsi="Arial" w:cs="Arial"/>
          <w:sz w:val="24"/>
          <w:rtl/>
        </w:rPr>
        <w:t xml:space="preserve"> (</w:t>
      </w:r>
      <w:r w:rsidRPr="006A166C">
        <w:rPr>
          <w:rFonts w:ascii="Arial" w:hAnsi="Arial" w:cs="Arial" w:hint="cs"/>
          <w:sz w:val="24"/>
          <w:rtl/>
        </w:rPr>
        <w:t>شرکت‏های</w:t>
      </w:r>
      <w:r w:rsidRPr="006A166C">
        <w:rPr>
          <w:rFonts w:ascii="Arial" w:hAnsi="Arial" w:cs="Arial"/>
          <w:sz w:val="24"/>
          <w:rtl/>
        </w:rPr>
        <w:t>)</w:t>
      </w:r>
      <w:r w:rsidRPr="006A166C">
        <w:rPr>
          <w:rFonts w:ascii="Arial" w:hAnsi="Arial" w:cs="Arial" w:hint="cs"/>
          <w:sz w:val="24"/>
          <w:rtl/>
        </w:rPr>
        <w:t>بیمه</w:t>
      </w:r>
    </w:p>
    <w:p w:rsidR="006A166C" w:rsidRDefault="006A166C" w:rsidP="006A166C">
      <w:pPr>
        <w:jc w:val="lowKashida"/>
        <w:rPr>
          <w:rFonts w:ascii="Arial" w:hAnsi="Arial" w:cs="Arial"/>
          <w:sz w:val="24"/>
          <w:rtl/>
        </w:rPr>
      </w:pPr>
      <w:r w:rsidRPr="006A166C">
        <w:rPr>
          <w:rFonts w:ascii="Arial" w:hAnsi="Arial" w:cs="Arial" w:hint="cs"/>
          <w:sz w:val="24"/>
          <w:rtl/>
        </w:rPr>
        <w:t>کتاب‏</w:t>
      </w:r>
      <w:r w:rsidRPr="006A166C">
        <w:rPr>
          <w:rFonts w:ascii="Arial" w:hAnsi="Arial" w:cs="Arial"/>
          <w:sz w:val="24"/>
          <w:rtl/>
        </w:rPr>
        <w:t>"</w:t>
      </w:r>
      <w:r w:rsidRPr="006A166C">
        <w:rPr>
          <w:rFonts w:ascii="Arial" w:hAnsi="Arial" w:cs="Arial" w:hint="cs"/>
          <w:sz w:val="24"/>
          <w:rtl/>
        </w:rPr>
        <w:t>تجزیه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و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تحلیل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توانایی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پرداخت‏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تعهدات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بیمه‏</w:t>
      </w:r>
      <w:r w:rsidRPr="006A166C">
        <w:rPr>
          <w:rFonts w:ascii="Arial" w:hAnsi="Arial" w:cs="Arial"/>
          <w:sz w:val="24"/>
          <w:rtl/>
        </w:rPr>
        <w:t>"</w:t>
      </w:r>
      <w:r w:rsidRPr="006A166C">
        <w:rPr>
          <w:rFonts w:ascii="Arial" w:hAnsi="Arial" w:cs="Arial" w:hint="cs"/>
          <w:sz w:val="24"/>
          <w:rtl/>
        </w:rPr>
        <w:t>گزارشی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تخصصی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پیرامون‏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روش‏های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مورد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استفاده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برای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ارزیابی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ناتوانی‏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پرداخت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تعهدات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بیمه‏گر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است</w:t>
      </w:r>
      <w:r w:rsidRPr="006A166C">
        <w:rPr>
          <w:rFonts w:ascii="Arial" w:hAnsi="Arial" w:cs="Arial"/>
          <w:sz w:val="24"/>
          <w:rtl/>
        </w:rPr>
        <w:t>.</w:t>
      </w:r>
      <w:r w:rsidRPr="006A166C">
        <w:rPr>
          <w:rFonts w:ascii="Arial" w:hAnsi="Arial" w:cs="Arial" w:hint="cs"/>
          <w:sz w:val="24"/>
          <w:rtl/>
        </w:rPr>
        <w:t>به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دنبال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یک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دهه‏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که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بسیاری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از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شرکت‏های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بیمه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شکست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خوردند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این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کتاب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راهنمایی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عملی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برای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lastRenderedPageBreak/>
        <w:t>کمک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به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تحقیق‏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پیرامون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آن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است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که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آیا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یک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بیمه‏گر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یا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بیمه‏گر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اتکایی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علاقه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و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توانایی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مالی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خواهد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داشت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تا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هنگام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وقوع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خسارت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آن‏ها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را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جبران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کند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یا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خیر</w:t>
      </w:r>
      <w:r w:rsidRPr="006A166C">
        <w:rPr>
          <w:rFonts w:ascii="Arial" w:hAnsi="Arial" w:cs="Arial"/>
          <w:sz w:val="24"/>
          <w:rtl/>
        </w:rPr>
        <w:t>.</w:t>
      </w:r>
      <w:r w:rsidRPr="006A166C">
        <w:rPr>
          <w:rFonts w:ascii="Arial" w:hAnsi="Arial" w:cs="Arial" w:hint="cs"/>
          <w:sz w:val="24"/>
          <w:rtl/>
        </w:rPr>
        <w:t>چاپ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دوم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با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اطلاعات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به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روز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و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جدید،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شامل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فرم‏های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جدید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خسارات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/>
          <w:sz w:val="24"/>
        </w:rPr>
        <w:t>DTI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و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نیز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فهرست‏های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عملی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و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راهنمایی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برای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یافتن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منابع‏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اطلاعاتی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مفید،است،لذا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منبعی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سریع،آسان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و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در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دست‏رس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برای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خوانندگان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فراهم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می‏آورد</w:t>
      </w:r>
      <w:r w:rsidRPr="006A166C">
        <w:rPr>
          <w:rFonts w:ascii="Arial" w:hAnsi="Arial" w:cs="Arial"/>
          <w:sz w:val="24"/>
          <w:rtl/>
        </w:rPr>
        <w:t xml:space="preserve">. </w:t>
      </w:r>
      <w:r w:rsidRPr="006A166C">
        <w:rPr>
          <w:rFonts w:ascii="Arial" w:hAnsi="Arial" w:cs="Arial" w:hint="cs"/>
          <w:sz w:val="24"/>
          <w:rtl/>
        </w:rPr>
        <w:t>فصل‏های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جدید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مربوط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به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سرمایه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بر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اساس‏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ریسک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و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راهنمای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حساب‏های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اروپایی‏</w:t>
      </w:r>
      <w:r w:rsidRPr="006A166C">
        <w:rPr>
          <w:rFonts w:ascii="Arial" w:hAnsi="Arial" w:cs="Arial"/>
          <w:sz w:val="24"/>
          <w:rtl/>
        </w:rPr>
        <w:t xml:space="preserve"> (</w:t>
      </w:r>
      <w:r w:rsidRPr="006A166C">
        <w:rPr>
          <w:rFonts w:ascii="Arial" w:hAnsi="Arial" w:cs="Arial"/>
          <w:sz w:val="24"/>
        </w:rPr>
        <w:t>European accounts Directive</w:t>
      </w:r>
      <w:r w:rsidRPr="006A166C">
        <w:rPr>
          <w:rFonts w:ascii="Arial" w:hAnsi="Arial" w:cs="Arial"/>
          <w:sz w:val="24"/>
          <w:rtl/>
        </w:rPr>
        <w:t xml:space="preserve">) </w:t>
      </w:r>
      <w:r w:rsidRPr="006A166C">
        <w:rPr>
          <w:rFonts w:ascii="Arial" w:hAnsi="Arial" w:cs="Arial" w:hint="cs"/>
          <w:sz w:val="24"/>
          <w:rtl/>
        </w:rPr>
        <w:t>برای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به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روز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کردن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و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تکمیل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چاپ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دوم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اضافه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شده‏اند</w:t>
      </w:r>
      <w:r w:rsidRPr="006A166C">
        <w:rPr>
          <w:rFonts w:ascii="Arial" w:hAnsi="Arial" w:cs="Arial"/>
          <w:sz w:val="24"/>
          <w:rtl/>
        </w:rPr>
        <w:t>.</w:t>
      </w:r>
      <w:r w:rsidRPr="006A166C">
        <w:rPr>
          <w:rFonts w:ascii="Arial" w:hAnsi="Arial" w:cs="Arial" w:hint="cs"/>
          <w:sz w:val="24"/>
          <w:rtl/>
        </w:rPr>
        <w:t>بیمه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ان‏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اتکایی،کارگزاران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و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ارزیابان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آن‏ها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لازم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است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و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به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این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منظور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طراحی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و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تنظیم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شده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است</w:t>
      </w:r>
      <w:r w:rsidRPr="006A166C">
        <w:rPr>
          <w:rFonts w:ascii="Arial" w:hAnsi="Arial" w:cs="Arial"/>
          <w:sz w:val="24"/>
          <w:rtl/>
        </w:rPr>
        <w:t>.</w:t>
      </w:r>
    </w:p>
    <w:p w:rsidR="006A166C" w:rsidRDefault="006A166C" w:rsidP="006A166C">
      <w:pPr>
        <w:jc w:val="lowKashida"/>
        <w:rPr>
          <w:rFonts w:ascii="Arial" w:hAnsi="Arial" w:cs="Arial"/>
          <w:sz w:val="24"/>
        </w:rPr>
      </w:pPr>
      <w:proofErr w:type="spellStart"/>
      <w:r w:rsidRPr="006A166C">
        <w:rPr>
          <w:rFonts w:ascii="Arial" w:hAnsi="Arial" w:cs="Arial"/>
          <w:sz w:val="24"/>
        </w:rPr>
        <w:t>Bannister</w:t>
      </w:r>
      <w:proofErr w:type="gramStart"/>
      <w:r w:rsidRPr="006A166C">
        <w:rPr>
          <w:rFonts w:ascii="Arial" w:hAnsi="Arial" w:cs="Arial"/>
          <w:sz w:val="24"/>
        </w:rPr>
        <w:t>,J.How</w:t>
      </w:r>
      <w:proofErr w:type="spellEnd"/>
      <w:proofErr w:type="gramEnd"/>
      <w:r w:rsidRPr="006A166C">
        <w:rPr>
          <w:rFonts w:ascii="Arial" w:hAnsi="Arial" w:cs="Arial"/>
          <w:sz w:val="24"/>
        </w:rPr>
        <w:t xml:space="preserve"> to manage </w:t>
      </w:r>
      <w:proofErr w:type="spellStart"/>
      <w:r w:rsidRPr="006A166C">
        <w:rPr>
          <w:rFonts w:ascii="Arial" w:hAnsi="Arial" w:cs="Arial"/>
          <w:sz w:val="24"/>
        </w:rPr>
        <w:t>risk,LLP,London</w:t>
      </w:r>
      <w:proofErr w:type="spellEnd"/>
      <w:r w:rsidRPr="006A166C">
        <w:rPr>
          <w:rFonts w:ascii="Arial" w:hAnsi="Arial" w:cs="Arial"/>
          <w:sz w:val="24"/>
        </w:rPr>
        <w:t>, 1999.ISBN 1-85978-560-3</w:t>
      </w:r>
      <w:r w:rsidRPr="006A166C">
        <w:rPr>
          <w:rFonts w:ascii="Arial" w:hAnsi="Arial" w:cs="Arial"/>
          <w:sz w:val="24"/>
          <w:rtl/>
        </w:rPr>
        <w:t xml:space="preserve">. </w:t>
      </w:r>
    </w:p>
    <w:p w:rsidR="006A166C" w:rsidRDefault="006A166C" w:rsidP="006A166C">
      <w:pPr>
        <w:jc w:val="lowKashida"/>
        <w:rPr>
          <w:rFonts w:ascii="Arial" w:hAnsi="Arial" w:cs="Arial"/>
          <w:sz w:val="24"/>
          <w:rtl/>
        </w:rPr>
      </w:pPr>
      <w:r w:rsidRPr="006A166C">
        <w:rPr>
          <w:rFonts w:ascii="Arial" w:hAnsi="Arial" w:cs="Arial" w:hint="cs"/>
          <w:sz w:val="24"/>
          <w:rtl/>
        </w:rPr>
        <w:t>چگونه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ریسک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را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مدیریت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کنیم</w:t>
      </w:r>
      <w:r w:rsidRPr="006A166C">
        <w:rPr>
          <w:rFonts w:ascii="Arial" w:hAnsi="Arial" w:cs="Arial"/>
          <w:sz w:val="24"/>
          <w:rtl/>
        </w:rPr>
        <w:t>.</w:t>
      </w:r>
    </w:p>
    <w:p w:rsidR="006A166C" w:rsidRDefault="006A166C" w:rsidP="00F97985">
      <w:pPr>
        <w:jc w:val="lowKashida"/>
        <w:rPr>
          <w:rFonts w:ascii="Arial" w:hAnsi="Arial" w:cs="Arial"/>
          <w:sz w:val="24"/>
          <w:rtl/>
        </w:rPr>
      </w:pPr>
      <w:r w:rsidRPr="006A166C">
        <w:rPr>
          <w:rFonts w:ascii="Arial" w:hAnsi="Arial" w:cs="Arial" w:hint="cs"/>
          <w:sz w:val="24"/>
          <w:rtl/>
        </w:rPr>
        <w:t>از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آن‏جایی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که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ریسک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در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همه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جا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وجود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دارد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و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می‏تواند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بسیار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پیچیده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باشد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مدیریت‏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ریسک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ممکن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است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مشکلی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ترس‏آور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به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نظر</w:t>
      </w:r>
      <w:r w:rsidRPr="006A166C">
        <w:rPr>
          <w:rFonts w:ascii="Arial" w:hAnsi="Arial" w:cs="Arial"/>
          <w:sz w:val="24"/>
          <w:rtl/>
        </w:rPr>
        <w:t xml:space="preserve"> </w:t>
      </w:r>
      <w:r w:rsidRPr="006A166C">
        <w:rPr>
          <w:rFonts w:ascii="Arial" w:hAnsi="Arial" w:cs="Arial" w:hint="cs"/>
          <w:sz w:val="24"/>
          <w:rtl/>
        </w:rPr>
        <w:t>برسد</w:t>
      </w:r>
      <w:r w:rsidRPr="006A166C">
        <w:rPr>
          <w:rFonts w:ascii="Arial" w:hAnsi="Arial" w:cs="Arial"/>
          <w:sz w:val="24"/>
          <w:rtl/>
        </w:rPr>
        <w:t>.</w:t>
      </w:r>
    </w:p>
    <w:p w:rsidR="00103DF7" w:rsidRPr="006A166C" w:rsidRDefault="00103DF7" w:rsidP="006A166C">
      <w:pPr>
        <w:jc w:val="lowKashida"/>
        <w:rPr>
          <w:rFonts w:ascii="Arial" w:hAnsi="Arial" w:cs="Arial"/>
          <w:sz w:val="24"/>
          <w:rtl/>
        </w:rPr>
      </w:pPr>
    </w:p>
    <w:sectPr w:rsidR="00103DF7" w:rsidRPr="006A166C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07562"/>
    <w:rsid w:val="00011BC7"/>
    <w:rsid w:val="00061CAC"/>
    <w:rsid w:val="00062F6F"/>
    <w:rsid w:val="000A597D"/>
    <w:rsid w:val="000B225B"/>
    <w:rsid w:val="000C05E1"/>
    <w:rsid w:val="000E51E5"/>
    <w:rsid w:val="000F5EA9"/>
    <w:rsid w:val="00103DF7"/>
    <w:rsid w:val="00103E8B"/>
    <w:rsid w:val="00105DBC"/>
    <w:rsid w:val="00106CE3"/>
    <w:rsid w:val="0015235D"/>
    <w:rsid w:val="0015777B"/>
    <w:rsid w:val="00175A76"/>
    <w:rsid w:val="001846A1"/>
    <w:rsid w:val="001A0AA5"/>
    <w:rsid w:val="001A7F75"/>
    <w:rsid w:val="001C57EB"/>
    <w:rsid w:val="001F1527"/>
    <w:rsid w:val="001F1D6F"/>
    <w:rsid w:val="00232D0B"/>
    <w:rsid w:val="00263424"/>
    <w:rsid w:val="00322C7E"/>
    <w:rsid w:val="00326625"/>
    <w:rsid w:val="00333CD4"/>
    <w:rsid w:val="00384397"/>
    <w:rsid w:val="00385AC9"/>
    <w:rsid w:val="003906D7"/>
    <w:rsid w:val="003B6510"/>
    <w:rsid w:val="003B7185"/>
    <w:rsid w:val="00402D7B"/>
    <w:rsid w:val="00411E12"/>
    <w:rsid w:val="00413E55"/>
    <w:rsid w:val="00437A71"/>
    <w:rsid w:val="0044352F"/>
    <w:rsid w:val="004548F5"/>
    <w:rsid w:val="00465F19"/>
    <w:rsid w:val="00474B6A"/>
    <w:rsid w:val="004B4355"/>
    <w:rsid w:val="004D05D4"/>
    <w:rsid w:val="004D253A"/>
    <w:rsid w:val="004D7309"/>
    <w:rsid w:val="004E5997"/>
    <w:rsid w:val="00536B13"/>
    <w:rsid w:val="005419E9"/>
    <w:rsid w:val="005541E8"/>
    <w:rsid w:val="005A1465"/>
    <w:rsid w:val="005D1D59"/>
    <w:rsid w:val="005E07B6"/>
    <w:rsid w:val="005E36BB"/>
    <w:rsid w:val="005F395E"/>
    <w:rsid w:val="00632A03"/>
    <w:rsid w:val="006472DB"/>
    <w:rsid w:val="00663093"/>
    <w:rsid w:val="00670E70"/>
    <w:rsid w:val="006730BE"/>
    <w:rsid w:val="00686ABC"/>
    <w:rsid w:val="00695BAC"/>
    <w:rsid w:val="006A166C"/>
    <w:rsid w:val="006C33FD"/>
    <w:rsid w:val="006D55CB"/>
    <w:rsid w:val="006D6D35"/>
    <w:rsid w:val="006E0B7A"/>
    <w:rsid w:val="006E3B40"/>
    <w:rsid w:val="00702669"/>
    <w:rsid w:val="0071077B"/>
    <w:rsid w:val="0072503D"/>
    <w:rsid w:val="00727CEA"/>
    <w:rsid w:val="00737758"/>
    <w:rsid w:val="00755E05"/>
    <w:rsid w:val="00757E27"/>
    <w:rsid w:val="00763C78"/>
    <w:rsid w:val="007646EE"/>
    <w:rsid w:val="00774973"/>
    <w:rsid w:val="00795288"/>
    <w:rsid w:val="007B3416"/>
    <w:rsid w:val="007C3739"/>
    <w:rsid w:val="007C5857"/>
    <w:rsid w:val="007C6699"/>
    <w:rsid w:val="00801742"/>
    <w:rsid w:val="008232A5"/>
    <w:rsid w:val="00863AC0"/>
    <w:rsid w:val="00884C63"/>
    <w:rsid w:val="008B106A"/>
    <w:rsid w:val="008C6859"/>
    <w:rsid w:val="008D384F"/>
    <w:rsid w:val="008E3E98"/>
    <w:rsid w:val="008F798A"/>
    <w:rsid w:val="0092736C"/>
    <w:rsid w:val="00945DC3"/>
    <w:rsid w:val="0097268A"/>
    <w:rsid w:val="0098072B"/>
    <w:rsid w:val="00985E8A"/>
    <w:rsid w:val="009924B3"/>
    <w:rsid w:val="009A291E"/>
    <w:rsid w:val="009A3DDE"/>
    <w:rsid w:val="009A7419"/>
    <w:rsid w:val="009C5751"/>
    <w:rsid w:val="00A111C0"/>
    <w:rsid w:val="00A43C69"/>
    <w:rsid w:val="00A50213"/>
    <w:rsid w:val="00A50AB8"/>
    <w:rsid w:val="00A56E7F"/>
    <w:rsid w:val="00A816E4"/>
    <w:rsid w:val="00AA1DA3"/>
    <w:rsid w:val="00AA63C5"/>
    <w:rsid w:val="00AA64C5"/>
    <w:rsid w:val="00AB085A"/>
    <w:rsid w:val="00AB7C1E"/>
    <w:rsid w:val="00AC2A8A"/>
    <w:rsid w:val="00AF64CB"/>
    <w:rsid w:val="00B31FB9"/>
    <w:rsid w:val="00B54623"/>
    <w:rsid w:val="00B849C7"/>
    <w:rsid w:val="00B8771A"/>
    <w:rsid w:val="00BC3410"/>
    <w:rsid w:val="00C00C07"/>
    <w:rsid w:val="00C17138"/>
    <w:rsid w:val="00C2104A"/>
    <w:rsid w:val="00C24282"/>
    <w:rsid w:val="00C25671"/>
    <w:rsid w:val="00C3171F"/>
    <w:rsid w:val="00C50CB8"/>
    <w:rsid w:val="00C60B44"/>
    <w:rsid w:val="00C62D50"/>
    <w:rsid w:val="00C913A5"/>
    <w:rsid w:val="00CA2D0B"/>
    <w:rsid w:val="00CA7307"/>
    <w:rsid w:val="00CD4FF2"/>
    <w:rsid w:val="00CE56F3"/>
    <w:rsid w:val="00CE7B30"/>
    <w:rsid w:val="00CF5D7D"/>
    <w:rsid w:val="00D0140B"/>
    <w:rsid w:val="00D0395A"/>
    <w:rsid w:val="00D03B05"/>
    <w:rsid w:val="00D242B2"/>
    <w:rsid w:val="00D4763C"/>
    <w:rsid w:val="00D70718"/>
    <w:rsid w:val="00D80494"/>
    <w:rsid w:val="00DA2DBC"/>
    <w:rsid w:val="00DC12A2"/>
    <w:rsid w:val="00DC2038"/>
    <w:rsid w:val="00DC7826"/>
    <w:rsid w:val="00DD38EF"/>
    <w:rsid w:val="00DF738F"/>
    <w:rsid w:val="00E00958"/>
    <w:rsid w:val="00E05813"/>
    <w:rsid w:val="00E123E7"/>
    <w:rsid w:val="00E459FF"/>
    <w:rsid w:val="00EB4220"/>
    <w:rsid w:val="00EB6C0A"/>
    <w:rsid w:val="00EC21D9"/>
    <w:rsid w:val="00EF3838"/>
    <w:rsid w:val="00EF5D2B"/>
    <w:rsid w:val="00EF6B5B"/>
    <w:rsid w:val="00F103D0"/>
    <w:rsid w:val="00F12163"/>
    <w:rsid w:val="00F12968"/>
    <w:rsid w:val="00F17EC3"/>
    <w:rsid w:val="00F207E3"/>
    <w:rsid w:val="00F263D4"/>
    <w:rsid w:val="00F276BB"/>
    <w:rsid w:val="00F31C23"/>
    <w:rsid w:val="00F33D37"/>
    <w:rsid w:val="00F90CFF"/>
    <w:rsid w:val="00F9722C"/>
    <w:rsid w:val="00F97985"/>
    <w:rsid w:val="00FC3E87"/>
    <w:rsid w:val="00FD2453"/>
    <w:rsid w:val="00FD5106"/>
    <w:rsid w:val="00FD5B81"/>
    <w:rsid w:val="00FD6009"/>
    <w:rsid w:val="00FE18D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2012-01-05T17:58:00Z</dcterms:created>
  <dcterms:modified xsi:type="dcterms:W3CDTF">2012-01-16T17:10:00Z</dcterms:modified>
</cp:coreProperties>
</file>